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  <w:bookmarkStart w:id="0" w:name="_GoBack"/>
      <w:bookmarkEnd w:id="0"/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5960FEC6" w:rsidR="009178AB" w:rsidRDefault="009178AB" w:rsidP="004B2DF2">
      <w:r>
        <w:t>Technical/Scientific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Write and edit proof-of-concept reports, statements of work, and technical papers that explain the concepts behind the technology</w:t>
      </w:r>
    </w:p>
    <w:p w14:paraId="10375C24" w14:textId="77777777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>managers to gathe</w:t>
      </w:r>
      <w:r w:rsidR="005C0F29">
        <w:t xml:space="preserve">r </w:t>
      </w:r>
      <w:r>
        <w:t>information</w:t>
      </w:r>
    </w:p>
    <w:p w14:paraId="2971D380" w14:textId="7E0B3D30" w:rsidR="009178AB" w:rsidRDefault="009178AB" w:rsidP="005C0F29">
      <w:pPr>
        <w:pStyle w:val="ListParagraph"/>
        <w:numPr>
          <w:ilvl w:val="0"/>
          <w:numId w:val="5"/>
        </w:numPr>
      </w:pPr>
      <w:r>
        <w:t>Prepare customized descriptions of services for multiple customer use cases</w:t>
      </w:r>
    </w:p>
    <w:p w14:paraId="36128D20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Develop training material to help customers use and adapt various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 xml:space="preserve">Created, edited, and maintained user manuals, online help systems, </w:t>
      </w:r>
      <w:r>
        <w:rPr>
          <w:rStyle w:val="background-details"/>
        </w:rPr>
        <w:t>quick-start</w:t>
      </w:r>
      <w:r>
        <w:rPr>
          <w:rStyle w:val="background-details"/>
        </w:rPr>
        <w:t xml:space="preserve"> guides, and release</w:t>
      </w:r>
      <w:r>
        <w:rPr>
          <w:rStyle w:val="background-details"/>
        </w:rPr>
        <w:t xml:space="preserve"> </w:t>
      </w:r>
      <w:r>
        <w:rPr>
          <w:rStyle w:val="background-details"/>
        </w:rPr>
        <w:t>notes for software and hardware product</w:t>
      </w:r>
      <w:r>
        <w:rPr>
          <w:rStyle w:val="background-details"/>
        </w:rPr>
        <w:t>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</w:t>
      </w:r>
      <w:r>
        <w:rPr>
          <w:rStyle w:val="background-details"/>
        </w:rPr>
        <w:t xml:space="preserve"> </w:t>
      </w:r>
      <w:r>
        <w:rPr>
          <w:rStyle w:val="background-details"/>
        </w:rPr>
        <w:t>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67368B1E" w14:textId="77777777" w:rsidR="00AD0244" w:rsidRDefault="00AD0244" w:rsidP="00AD0244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3283F94E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Created business website content and managed news aggregation websites</w:t>
      </w:r>
    </w:p>
    <w:p w14:paraId="607B4E07" w14:textId="77777777" w:rsidR="00CC7259" w:rsidRDefault="00CC7259">
      <w:pPr>
        <w:spacing w:line="240" w:lineRule="auto"/>
      </w:pPr>
      <w:r>
        <w:br w:type="page"/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lastRenderedPageBreak/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7777777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>
        <w:t>f</w:t>
      </w:r>
      <w:r w:rsidR="00820F66">
        <w:t>luent (near</w:t>
      </w:r>
      <w:r w:rsidR="009B09AF">
        <w:t xml:space="preserve"> </w:t>
      </w:r>
      <w:r w:rsidR="00820F66">
        <w:t>native)</w:t>
      </w:r>
    </w:p>
    <w:p w14:paraId="39D232C1" w14:textId="77777777" w:rsidR="00CB6087" w:rsidRPr="00037430" w:rsidRDefault="00C8390A" w:rsidP="00A32B2E">
      <w:pPr>
        <w:numPr>
          <w:ilvl w:val="0"/>
          <w:numId w:val="1"/>
        </w:numPr>
      </w:pPr>
      <w:r>
        <w:t>G</w:t>
      </w:r>
      <w:r w:rsidR="00820F66">
        <w:t xml:space="preserve">erman: </w:t>
      </w:r>
      <w:r w:rsidR="007E4EA3">
        <w:t xml:space="preserve">upper </w:t>
      </w:r>
      <w:r w:rsidR="00820F66">
        <w:t>intermediate</w:t>
      </w:r>
    </w:p>
    <w:p w14:paraId="4FF1E4A3" w14:textId="77777777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E244" w14:textId="77777777" w:rsidR="003C1AF6" w:rsidRDefault="003C1AF6" w:rsidP="007956D0">
      <w:pPr>
        <w:spacing w:line="240" w:lineRule="auto"/>
      </w:pPr>
      <w:r>
        <w:separator/>
      </w:r>
    </w:p>
    <w:p w14:paraId="1C55F33E" w14:textId="77777777" w:rsidR="003C1AF6" w:rsidRDefault="003C1AF6"/>
  </w:endnote>
  <w:endnote w:type="continuationSeparator" w:id="0">
    <w:p w14:paraId="382AB0F4" w14:textId="77777777" w:rsidR="003C1AF6" w:rsidRDefault="003C1AF6" w:rsidP="007956D0">
      <w:pPr>
        <w:spacing w:line="240" w:lineRule="auto"/>
      </w:pPr>
      <w:r>
        <w:continuationSeparator/>
      </w:r>
    </w:p>
    <w:p w14:paraId="58D364E5" w14:textId="77777777" w:rsidR="003C1AF6" w:rsidRDefault="003C1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3CE6" w14:textId="77777777" w:rsidR="003C1AF6" w:rsidRDefault="003C1AF6" w:rsidP="007956D0">
      <w:pPr>
        <w:spacing w:line="240" w:lineRule="auto"/>
      </w:pPr>
      <w:r>
        <w:separator/>
      </w:r>
    </w:p>
    <w:p w14:paraId="24E9391F" w14:textId="77777777" w:rsidR="003C1AF6" w:rsidRDefault="003C1AF6"/>
  </w:footnote>
  <w:footnote w:type="continuationSeparator" w:id="0">
    <w:p w14:paraId="34B31D97" w14:textId="77777777" w:rsidR="003C1AF6" w:rsidRDefault="003C1AF6" w:rsidP="007956D0">
      <w:pPr>
        <w:spacing w:line="240" w:lineRule="auto"/>
      </w:pPr>
      <w:r>
        <w:continuationSeparator/>
      </w:r>
    </w:p>
    <w:p w14:paraId="56830B7C" w14:textId="77777777" w:rsidR="003C1AF6" w:rsidRDefault="003C1A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A2B0E-ECF9-4017-9983-CA906395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6881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23</cp:revision>
  <cp:lastPrinted>2017-06-12T16:53:00Z</cp:lastPrinted>
  <dcterms:created xsi:type="dcterms:W3CDTF">2018-09-12T07:23:00Z</dcterms:created>
  <dcterms:modified xsi:type="dcterms:W3CDTF">2018-10-03T16:32:00Z</dcterms:modified>
</cp:coreProperties>
</file>