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PARTICULAR CONDITIONS OF CONTRACT — REVISION A</w:t>
      </w:r>
    </w:p>
    <w:p>
      <w:r>
        <w:rPr>
          <w:b/>
        </w:rPr>
        <w:t>Document Ref:</w:t>
      </w:r>
      <w:r>
        <w:t xml:space="preserve"> PDC-PC-001 Rev A</w:t>
      </w:r>
    </w:p>
    <w:p>
      <w:r>
        <w:rPr>
          <w:b/>
        </w:rPr>
        <w:t>Project:</w:t>
      </w:r>
      <w:r>
        <w:t xml:space="preserve"> Polaris DC-1 — Aviapolis Data Campus, Phase 1, Vantaa, Finland</w:t>
      </w:r>
    </w:p>
    <w:p>
      <w:r>
        <w:rPr>
          <w:b/>
        </w:rPr>
        <w:t>Employer:</w:t>
      </w:r>
      <w:r>
        <w:t xml:space="preserve"> Polaris Digital Infrastructure Oy</w:t>
      </w:r>
    </w:p>
    <w:p>
      <w:r>
        <w:rPr>
          <w:b/>
        </w:rPr>
        <w:t>Contractor:</w:t>
      </w:r>
      <w:r>
        <w:t xml:space="preserve"> NordBuild Oy</w:t>
      </w:r>
    </w:p>
    <w:p>
      <w:r>
        <w:rPr>
          <w:b/>
        </w:rPr>
        <w:t>Date issued:</w:t>
      </w:r>
      <w:r>
        <w:t xml:space="preserve"> 12 January 2026</w:t>
      </w:r>
    </w:p>
    <w:p>
      <w:r>
        <w:rPr>
          <w:b/>
        </w:rPr>
        <w:t>Status:</w:t>
      </w:r>
      <w:r>
        <w:t xml:space="preserve"> Issued to the Contractor for execution</w:t>
      </w:r>
    </w:p>
    <w:p>
      <w:pPr>
        <w:pStyle w:val="IntenseQuote"/>
      </w:pPr>
      <w:r>
        <w:t>Synthetic demonstration data. All parties, values and terms are fictional.</w:t>
      </w:r>
    </w:p>
    <w:p>
      <w:r>
        <w:rPr>
          <w:color w:val="BBBBBB"/>
        </w:rPr>
        <w:t>____________________________________________________________</w:t>
      </w:r>
    </w:p>
    <w:p>
      <w:pPr>
        <w:pStyle w:val="Heading2"/>
      </w:pPr>
      <w:r>
        <w:t>READING INSTRUCTIONS</w:t>
      </w:r>
    </w:p>
    <w:p>
      <w:r>
        <w:t xml:space="preserve">These Particular Conditions amend the </w:t>
      </w:r>
      <w:r>
        <w:rPr>
          <w:b/>
        </w:rPr>
        <w:t>FIDIC Conditions of Contract for Plant and Design-Build, Second Edition 2017</w:t>
      </w:r>
      <w:r>
        <w:t xml:space="preserve"> (the "General Conditions"). This document must be read </w:t>
      </w:r>
      <w:r>
        <w:rPr>
          <w:b/>
        </w:rPr>
        <w:t>together with</w:t>
      </w:r>
      <w:r>
        <w:t xml:space="preserve"> the General Conditions.</w:t>
      </w:r>
    </w:p>
    <w:p>
      <w:r>
        <w:t xml:space="preserve">Where a provision below deletes or replaces a Sub-Clause of the General Conditions, the General Conditions as amended form the Contract. </w:t>
      </w:r>
      <w:r>
        <w:rPr>
          <w:b/>
        </w:rPr>
        <w:t>This document alone does not state the full obligations of either Party.</w:t>
      </w:r>
      <w:r>
        <w:t xml:space="preserve"> Sub-Clause numbering follows the General Conditions.</w:t>
      </w:r>
    </w:p>
    <w:p>
      <w:r>
        <w:t>Order of precedence is as stated in Sub-Clause 1.5 of the General Conditions, as amended by Part B below.</w:t>
      </w:r>
    </w:p>
    <w:p>
      <w:r>
        <w:rPr>
          <w:color w:val="BBBBBB"/>
        </w:rPr>
        <w:t>____________________________________________________________</w:t>
      </w:r>
    </w:p>
    <w:p>
      <w:pPr>
        <w:pStyle w:val="Heading1"/>
      </w:pPr>
      <w:r>
        <w:t>PART A — CONTRACT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Sub-Clause</w:t>
            </w:r>
          </w:p>
        </w:tc>
        <w:tc>
          <w:tcPr>
            <w:tcW w:type="dxa" w:w="2880"/>
          </w:tcPr>
          <w:p>
            <w:r>
              <w:rPr>
                <w:rFonts w:ascii="Arial" w:hAnsi="Arial"/>
                <w:b/>
                <w:sz w:val="17"/>
              </w:rPr>
            </w:r>
            <w:r>
              <w:rPr>
                <w:rFonts w:ascii="Arial" w:hAnsi="Arial"/>
                <w:b/>
                <w:sz w:val="17"/>
              </w:rPr>
              <w:t>Item</w:t>
            </w:r>
          </w:p>
        </w:tc>
        <w:tc>
          <w:tcPr>
            <w:tcW w:type="dxa" w:w="2880"/>
          </w:tcPr>
          <w:p>
            <w:r>
              <w:rPr>
                <w:rFonts w:ascii="Arial" w:hAnsi="Arial"/>
                <w:b/>
                <w:sz w:val="17"/>
              </w:rPr>
            </w:r>
            <w:r>
              <w:rPr>
                <w:rFonts w:ascii="Arial" w:hAnsi="Arial"/>
                <w:b/>
                <w:sz w:val="17"/>
              </w:rPr>
              <w:t>Data</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Employer</w:t>
            </w:r>
          </w:p>
        </w:tc>
        <w:tc>
          <w:tcPr>
            <w:tcW w:type="dxa" w:w="2880"/>
          </w:tcPr>
          <w:p>
            <w:r>
              <w:rPr>
                <w:rFonts w:ascii="Arial" w:hAnsi="Arial"/>
                <w:sz w:val="17"/>
              </w:rPr>
            </w:r>
            <w:r>
              <w:rPr>
                <w:rFonts w:ascii="Arial" w:hAnsi="Arial"/>
                <w:sz w:val="17"/>
              </w:rPr>
              <w:t>Polaris Digital Infrastructure Oy, Business ID 3241887-4, Aviapolis, Vantaa</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Contractor</w:t>
            </w:r>
          </w:p>
        </w:tc>
        <w:tc>
          <w:tcPr>
            <w:tcW w:type="dxa" w:w="2880"/>
          </w:tcPr>
          <w:p>
            <w:r>
              <w:rPr>
                <w:rFonts w:ascii="Arial" w:hAnsi="Arial"/>
                <w:sz w:val="17"/>
              </w:rPr>
            </w:r>
            <w:r>
              <w:rPr>
                <w:rFonts w:ascii="Arial" w:hAnsi="Arial"/>
                <w:sz w:val="17"/>
              </w:rPr>
              <w:t>NordBuild Oy, Business ID 1998442-1, Helsinki</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Engineer</w:t>
            </w:r>
          </w:p>
        </w:tc>
        <w:tc>
          <w:tcPr>
            <w:tcW w:type="dxa" w:w="2880"/>
          </w:tcPr>
          <w:p>
            <w:r>
              <w:rPr>
                <w:rFonts w:ascii="Arial" w:hAnsi="Arial"/>
                <w:sz w:val="17"/>
              </w:rPr>
            </w:r>
            <w:r>
              <w:rPr>
                <w:rFonts w:ascii="Arial" w:hAnsi="Arial"/>
                <w:sz w:val="17"/>
              </w:rPr>
              <w:t>Norvia Consulting Oy, Helsinki</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Accepted Contract Amount</w:t>
            </w:r>
          </w:p>
        </w:tc>
        <w:tc>
          <w:tcPr>
            <w:tcW w:type="dxa" w:w="2880"/>
          </w:tcPr>
          <w:p>
            <w:r>
              <w:rPr>
                <w:rFonts w:ascii="Arial" w:hAnsi="Arial"/>
                <w:sz w:val="17"/>
              </w:rPr>
            </w:r>
            <w:r>
              <w:rPr>
                <w:rFonts w:ascii="Arial" w:hAnsi="Arial"/>
                <w:sz w:val="17"/>
              </w:rPr>
              <w:t>EUR 92,400,000</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Base Date</w:t>
            </w:r>
          </w:p>
        </w:tc>
        <w:tc>
          <w:tcPr>
            <w:tcW w:type="dxa" w:w="2880"/>
          </w:tcPr>
          <w:p>
            <w:r>
              <w:rPr>
                <w:rFonts w:ascii="Arial" w:hAnsi="Arial"/>
                <w:sz w:val="17"/>
              </w:rPr>
            </w:r>
            <w:r>
              <w:rPr>
                <w:rFonts w:ascii="Arial" w:hAnsi="Arial"/>
                <w:sz w:val="17"/>
              </w:rPr>
              <w:t>12 December 2025</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Commencement Date</w:t>
            </w:r>
          </w:p>
        </w:tc>
        <w:tc>
          <w:tcPr>
            <w:tcW w:type="dxa" w:w="2880"/>
          </w:tcPr>
          <w:p>
            <w:r>
              <w:rPr>
                <w:rFonts w:ascii="Arial" w:hAnsi="Arial"/>
                <w:sz w:val="17"/>
              </w:rPr>
            </w:r>
            <w:r>
              <w:rPr>
                <w:rFonts w:ascii="Arial" w:hAnsi="Arial"/>
                <w:sz w:val="17"/>
              </w:rPr>
              <w:t>2 March 2026</w:t>
            </w:r>
          </w:p>
        </w:tc>
      </w:tr>
      <w:tr>
        <w:tc>
          <w:tcPr>
            <w:tcW w:type="dxa" w:w="2880"/>
          </w:tcPr>
          <w:p>
            <w:r>
              <w:rPr>
                <w:rFonts w:ascii="Arial" w:hAnsi="Arial"/>
                <w:sz w:val="17"/>
              </w:rPr>
            </w:r>
            <w:r>
              <w:rPr>
                <w:rFonts w:ascii="Arial" w:hAnsi="Arial"/>
                <w:sz w:val="17"/>
              </w:rPr>
              <w:t>1.4</w:t>
            </w:r>
          </w:p>
        </w:tc>
        <w:tc>
          <w:tcPr>
            <w:tcW w:type="dxa" w:w="2880"/>
          </w:tcPr>
          <w:p>
            <w:r>
              <w:rPr>
                <w:rFonts w:ascii="Arial" w:hAnsi="Arial"/>
                <w:sz w:val="17"/>
              </w:rPr>
            </w:r>
            <w:r>
              <w:rPr>
                <w:rFonts w:ascii="Arial" w:hAnsi="Arial"/>
                <w:sz w:val="17"/>
              </w:rPr>
              <w:t>Governing Law</w:t>
            </w:r>
          </w:p>
        </w:tc>
        <w:tc>
          <w:tcPr>
            <w:tcW w:type="dxa" w:w="2880"/>
          </w:tcPr>
          <w:p>
            <w:r>
              <w:rPr>
                <w:rFonts w:ascii="Arial" w:hAnsi="Arial"/>
                <w:sz w:val="17"/>
              </w:rPr>
            </w:r>
            <w:r>
              <w:rPr>
                <w:rFonts w:ascii="Arial" w:hAnsi="Arial"/>
                <w:sz w:val="17"/>
              </w:rPr>
              <w:t>The law of Finland</w:t>
            </w:r>
          </w:p>
        </w:tc>
      </w:tr>
      <w:tr>
        <w:tc>
          <w:tcPr>
            <w:tcW w:type="dxa" w:w="2880"/>
          </w:tcPr>
          <w:p>
            <w:r>
              <w:rPr>
                <w:rFonts w:ascii="Arial" w:hAnsi="Arial"/>
                <w:sz w:val="17"/>
              </w:rPr>
            </w:r>
            <w:r>
              <w:rPr>
                <w:rFonts w:ascii="Arial" w:hAnsi="Arial"/>
                <w:sz w:val="17"/>
              </w:rPr>
              <w:t>1.4</w:t>
            </w:r>
          </w:p>
        </w:tc>
        <w:tc>
          <w:tcPr>
            <w:tcW w:type="dxa" w:w="2880"/>
          </w:tcPr>
          <w:p>
            <w:r>
              <w:rPr>
                <w:rFonts w:ascii="Arial" w:hAnsi="Arial"/>
                <w:sz w:val="17"/>
              </w:rPr>
            </w:r>
            <w:r>
              <w:rPr>
                <w:rFonts w:ascii="Arial" w:hAnsi="Arial"/>
                <w:sz w:val="17"/>
              </w:rPr>
              <w:t>Ruling language</w:t>
            </w:r>
          </w:p>
        </w:tc>
        <w:tc>
          <w:tcPr>
            <w:tcW w:type="dxa" w:w="2880"/>
          </w:tcPr>
          <w:p>
            <w:r>
              <w:rPr>
                <w:rFonts w:ascii="Arial" w:hAnsi="Arial"/>
                <w:sz w:val="17"/>
              </w:rPr>
            </w:r>
            <w:r>
              <w:rPr>
                <w:rFonts w:ascii="Arial" w:hAnsi="Arial"/>
                <w:sz w:val="17"/>
              </w:rPr>
              <w:t>English</w:t>
            </w:r>
          </w:p>
        </w:tc>
      </w:tr>
      <w:tr>
        <w:tc>
          <w:tcPr>
            <w:tcW w:type="dxa" w:w="2880"/>
          </w:tcPr>
          <w:p>
            <w:r>
              <w:rPr>
                <w:rFonts w:ascii="Arial" w:hAnsi="Arial"/>
                <w:sz w:val="17"/>
              </w:rPr>
            </w:r>
            <w:r>
              <w:rPr>
                <w:rFonts w:ascii="Arial" w:hAnsi="Arial"/>
                <w:sz w:val="17"/>
              </w:rPr>
              <w:t>1.4</w:t>
            </w:r>
          </w:p>
        </w:tc>
        <w:tc>
          <w:tcPr>
            <w:tcW w:type="dxa" w:w="2880"/>
          </w:tcPr>
          <w:p>
            <w:r>
              <w:rPr>
                <w:rFonts w:ascii="Arial" w:hAnsi="Arial"/>
                <w:sz w:val="17"/>
              </w:rPr>
            </w:r>
            <w:r>
              <w:rPr>
                <w:rFonts w:ascii="Arial" w:hAnsi="Arial"/>
                <w:sz w:val="17"/>
              </w:rPr>
              <w:t>Language for communications</w:t>
            </w:r>
          </w:p>
        </w:tc>
        <w:tc>
          <w:tcPr>
            <w:tcW w:type="dxa" w:w="2880"/>
          </w:tcPr>
          <w:p>
            <w:r>
              <w:rPr>
                <w:rFonts w:ascii="Arial" w:hAnsi="Arial"/>
                <w:sz w:val="17"/>
              </w:rPr>
            </w:r>
            <w:r>
              <w:rPr>
                <w:rFonts w:ascii="Arial" w:hAnsi="Arial"/>
                <w:sz w:val="17"/>
              </w:rPr>
              <w:t>English. Statutory submissions to authorities in Finnish.</w:t>
            </w:r>
          </w:p>
        </w:tc>
      </w:tr>
      <w:tr>
        <w:tc>
          <w:tcPr>
            <w:tcW w:type="dxa" w:w="2880"/>
          </w:tcPr>
          <w:p>
            <w:r>
              <w:rPr>
                <w:rFonts w:ascii="Arial" w:hAnsi="Arial"/>
                <w:sz w:val="17"/>
              </w:rPr>
            </w:r>
            <w:r>
              <w:rPr>
                <w:rFonts w:ascii="Arial" w:hAnsi="Arial"/>
                <w:sz w:val="17"/>
              </w:rPr>
              <w:t>4.2</w:t>
            </w:r>
          </w:p>
        </w:tc>
        <w:tc>
          <w:tcPr>
            <w:tcW w:type="dxa" w:w="2880"/>
          </w:tcPr>
          <w:p>
            <w:r>
              <w:rPr>
                <w:rFonts w:ascii="Arial" w:hAnsi="Arial"/>
                <w:sz w:val="17"/>
              </w:rPr>
            </w:r>
            <w:r>
              <w:rPr>
                <w:rFonts w:ascii="Arial" w:hAnsi="Arial"/>
                <w:sz w:val="17"/>
              </w:rPr>
              <w:t>Performance Security</w:t>
            </w:r>
          </w:p>
        </w:tc>
        <w:tc>
          <w:tcPr>
            <w:tcW w:type="dxa" w:w="2880"/>
          </w:tcPr>
          <w:p>
            <w:r>
              <w:rPr>
                <w:rFonts w:ascii="Arial" w:hAnsi="Arial"/>
                <w:sz w:val="17"/>
              </w:rPr>
            </w:r>
            <w:r>
              <w:rPr>
                <w:rFonts w:ascii="Arial" w:hAnsi="Arial"/>
                <w:sz w:val="17"/>
              </w:rPr>
              <w:t>10% of the Accepted Contract Amount, on-demand bank guarantee from a bank acceptable to the Employer</w:t>
            </w:r>
          </w:p>
        </w:tc>
      </w:tr>
      <w:tr>
        <w:tc>
          <w:tcPr>
            <w:tcW w:type="dxa" w:w="2880"/>
          </w:tcPr>
          <w:p>
            <w:r>
              <w:rPr>
                <w:rFonts w:ascii="Arial" w:hAnsi="Arial"/>
                <w:sz w:val="17"/>
              </w:rPr>
            </w:r>
            <w:r>
              <w:rPr>
                <w:rFonts w:ascii="Arial" w:hAnsi="Arial"/>
                <w:sz w:val="17"/>
              </w:rPr>
              <w:t>8.2</w:t>
            </w:r>
          </w:p>
        </w:tc>
        <w:tc>
          <w:tcPr>
            <w:tcW w:type="dxa" w:w="2880"/>
          </w:tcPr>
          <w:p>
            <w:r>
              <w:rPr>
                <w:rFonts w:ascii="Arial" w:hAnsi="Arial"/>
                <w:sz w:val="17"/>
              </w:rPr>
            </w:r>
            <w:r>
              <w:rPr>
                <w:rFonts w:ascii="Arial" w:hAnsi="Arial"/>
                <w:sz w:val="17"/>
              </w:rPr>
              <w:t>Time for Completion — whole of the Works</w:t>
            </w:r>
          </w:p>
        </w:tc>
        <w:tc>
          <w:tcPr>
            <w:tcW w:type="dxa" w:w="2880"/>
          </w:tcPr>
          <w:p>
            <w:r>
              <w:rPr>
                <w:rFonts w:ascii="Arial" w:hAnsi="Arial"/>
                <w:sz w:val="17"/>
              </w:rPr>
            </w:r>
            <w:r>
              <w:rPr>
                <w:rFonts w:ascii="Arial" w:hAnsi="Arial"/>
                <w:sz w:val="17"/>
              </w:rPr>
              <w:t>22 months from the Commencement Date</w:t>
            </w:r>
          </w:p>
        </w:tc>
      </w:tr>
      <w:tr>
        <w:tc>
          <w:tcPr>
            <w:tcW w:type="dxa" w:w="2880"/>
          </w:tcPr>
          <w:p>
            <w:r>
              <w:rPr>
                <w:rFonts w:ascii="Arial" w:hAnsi="Arial"/>
                <w:sz w:val="17"/>
              </w:rPr>
            </w:r>
            <w:r>
              <w:rPr>
                <w:rFonts w:ascii="Arial" w:hAnsi="Arial"/>
                <w:sz w:val="17"/>
              </w:rPr>
              <w:t>8.2</w:t>
            </w:r>
          </w:p>
        </w:tc>
        <w:tc>
          <w:tcPr>
            <w:tcW w:type="dxa" w:w="2880"/>
          </w:tcPr>
          <w:p>
            <w:r>
              <w:rPr>
                <w:rFonts w:ascii="Arial" w:hAnsi="Arial"/>
                <w:sz w:val="17"/>
              </w:rPr>
            </w:r>
            <w:r>
              <w:rPr>
                <w:rFonts w:ascii="Arial" w:hAnsi="Arial"/>
                <w:sz w:val="17"/>
              </w:rPr>
              <w:t>Sections</w:t>
            </w:r>
          </w:p>
        </w:tc>
        <w:tc>
          <w:tcPr>
            <w:tcW w:type="dxa" w:w="2880"/>
          </w:tcPr>
          <w:p>
            <w:r>
              <w:rPr>
                <w:rFonts w:ascii="Arial" w:hAnsi="Arial"/>
                <w:sz w:val="17"/>
              </w:rPr>
            </w:r>
            <w:r>
              <w:rPr>
                <w:rFonts w:ascii="Arial" w:hAnsi="Arial"/>
                <w:sz w:val="17"/>
              </w:rPr>
              <w:t>Four Sections, as set out in the table below</w:t>
            </w:r>
          </w:p>
        </w:tc>
      </w:tr>
      <w:tr>
        <w:tc>
          <w:tcPr>
            <w:tcW w:type="dxa" w:w="2880"/>
          </w:tcPr>
          <w:p>
            <w:r>
              <w:rPr>
                <w:rFonts w:ascii="Arial" w:hAnsi="Arial"/>
                <w:sz w:val="17"/>
              </w:rPr>
            </w:r>
            <w:r>
              <w:rPr>
                <w:rFonts w:ascii="Arial" w:hAnsi="Arial"/>
                <w:sz w:val="17"/>
              </w:rPr>
              <w:t>8.8</w:t>
            </w:r>
          </w:p>
        </w:tc>
        <w:tc>
          <w:tcPr>
            <w:tcW w:type="dxa" w:w="2880"/>
          </w:tcPr>
          <w:p>
            <w:r>
              <w:rPr>
                <w:rFonts w:ascii="Arial" w:hAnsi="Arial"/>
                <w:sz w:val="17"/>
              </w:rPr>
            </w:r>
            <w:r>
              <w:rPr>
                <w:rFonts w:ascii="Arial" w:hAnsi="Arial"/>
                <w:sz w:val="17"/>
              </w:rPr>
              <w:t>Delay Damages</w:t>
            </w:r>
          </w:p>
        </w:tc>
        <w:tc>
          <w:tcPr>
            <w:tcW w:type="dxa" w:w="2880"/>
          </w:tcPr>
          <w:p>
            <w:r>
              <w:rPr>
                <w:rFonts w:ascii="Arial" w:hAnsi="Arial"/>
                <w:sz w:val="17"/>
              </w:rPr>
            </w:r>
            <w:r>
              <w:rPr>
                <w:rFonts w:ascii="Arial" w:hAnsi="Arial"/>
                <w:sz w:val="17"/>
              </w:rPr>
              <w:t>Per Section, as set out in the table below</w:t>
            </w:r>
          </w:p>
        </w:tc>
      </w:tr>
      <w:tr>
        <w:tc>
          <w:tcPr>
            <w:tcW w:type="dxa" w:w="2880"/>
          </w:tcPr>
          <w:p>
            <w:r>
              <w:rPr>
                <w:rFonts w:ascii="Arial" w:hAnsi="Arial"/>
                <w:sz w:val="17"/>
              </w:rPr>
            </w:r>
            <w:r>
              <w:rPr>
                <w:rFonts w:ascii="Arial" w:hAnsi="Arial"/>
                <w:sz w:val="17"/>
              </w:rPr>
              <w:t>8.8</w:t>
            </w:r>
          </w:p>
        </w:tc>
        <w:tc>
          <w:tcPr>
            <w:tcW w:type="dxa" w:w="2880"/>
          </w:tcPr>
          <w:p>
            <w:r>
              <w:rPr>
                <w:rFonts w:ascii="Arial" w:hAnsi="Arial"/>
                <w:sz w:val="17"/>
              </w:rPr>
            </w:r>
            <w:r>
              <w:rPr>
                <w:rFonts w:ascii="Arial" w:hAnsi="Arial"/>
                <w:sz w:val="17"/>
              </w:rPr>
              <w:t>Maximum Delay Damages</w:t>
            </w:r>
          </w:p>
        </w:tc>
        <w:tc>
          <w:tcPr>
            <w:tcW w:type="dxa" w:w="2880"/>
          </w:tcPr>
          <w:p>
            <w:r>
              <w:rPr>
                <w:rFonts w:ascii="Arial" w:hAnsi="Arial"/>
                <w:sz w:val="17"/>
              </w:rPr>
            </w:r>
            <w:r>
              <w:rPr>
                <w:rFonts w:ascii="Arial" w:hAnsi="Arial"/>
                <w:b/>
                <w:sz w:val="17"/>
              </w:rPr>
              <w:t>20% of the Accepted Contract Amount</w:t>
            </w:r>
          </w:p>
        </w:tc>
      </w:tr>
      <w:tr>
        <w:tc>
          <w:tcPr>
            <w:tcW w:type="dxa" w:w="2880"/>
          </w:tcPr>
          <w:p>
            <w:r>
              <w:rPr>
                <w:rFonts w:ascii="Arial" w:hAnsi="Arial"/>
                <w:sz w:val="17"/>
              </w:rPr>
            </w:r>
            <w:r>
              <w:rPr>
                <w:rFonts w:ascii="Arial" w:hAnsi="Arial"/>
                <w:sz w:val="17"/>
              </w:rPr>
              <w:t>11.1</w:t>
            </w:r>
          </w:p>
        </w:tc>
        <w:tc>
          <w:tcPr>
            <w:tcW w:type="dxa" w:w="2880"/>
          </w:tcPr>
          <w:p>
            <w:r>
              <w:rPr>
                <w:rFonts w:ascii="Arial" w:hAnsi="Arial"/>
                <w:sz w:val="17"/>
              </w:rPr>
            </w:r>
            <w:r>
              <w:rPr>
                <w:rFonts w:ascii="Arial" w:hAnsi="Arial"/>
                <w:sz w:val="17"/>
              </w:rPr>
              <w:t>Defects Notification Period</w:t>
            </w:r>
          </w:p>
        </w:tc>
        <w:tc>
          <w:tcPr>
            <w:tcW w:type="dxa" w:w="2880"/>
          </w:tcPr>
          <w:p>
            <w:r>
              <w:rPr>
                <w:rFonts w:ascii="Arial" w:hAnsi="Arial"/>
                <w:sz w:val="17"/>
              </w:rPr>
            </w:r>
            <w:r>
              <w:rPr>
                <w:rFonts w:ascii="Arial" w:hAnsi="Arial"/>
                <w:b/>
                <w:sz w:val="17"/>
              </w:rPr>
              <w:t>36 months</w:t>
            </w:r>
            <w:r>
              <w:rPr>
                <w:rFonts w:ascii="Arial" w:hAnsi="Arial"/>
                <w:sz w:val="17"/>
              </w:rPr>
              <w:t xml:space="preserve"> from the date stated in the Taking-Over Certificate for the relevant Section</w:t>
            </w:r>
          </w:p>
        </w:tc>
      </w:tr>
      <w:tr>
        <w:tc>
          <w:tcPr>
            <w:tcW w:type="dxa" w:w="2880"/>
          </w:tcPr>
          <w:p>
            <w:r>
              <w:rPr>
                <w:rFonts w:ascii="Arial" w:hAnsi="Arial"/>
                <w:sz w:val="17"/>
              </w:rPr>
            </w:r>
            <w:r>
              <w:rPr>
                <w:rFonts w:ascii="Arial" w:hAnsi="Arial"/>
                <w:sz w:val="17"/>
              </w:rPr>
              <w:t>13.8</w:t>
            </w:r>
          </w:p>
        </w:tc>
        <w:tc>
          <w:tcPr>
            <w:tcW w:type="dxa" w:w="2880"/>
          </w:tcPr>
          <w:p>
            <w:r>
              <w:rPr>
                <w:rFonts w:ascii="Arial" w:hAnsi="Arial"/>
                <w:sz w:val="17"/>
              </w:rPr>
            </w:r>
            <w:r>
              <w:rPr>
                <w:rFonts w:ascii="Arial" w:hAnsi="Arial"/>
                <w:sz w:val="17"/>
              </w:rPr>
              <w:t>Adjustments for Changes in Cost</w:t>
            </w:r>
          </w:p>
        </w:tc>
        <w:tc>
          <w:tcPr>
            <w:tcW w:type="dxa" w:w="2880"/>
          </w:tcPr>
          <w:p>
            <w:r>
              <w:rPr>
                <w:rFonts w:ascii="Arial" w:hAnsi="Arial"/>
                <w:sz w:val="17"/>
              </w:rPr>
            </w:r>
            <w:r>
              <w:rPr>
                <w:rFonts w:ascii="Arial" w:hAnsi="Arial"/>
                <w:sz w:val="17"/>
              </w:rPr>
              <w:t>Not applicable — see Part B</w:t>
            </w:r>
          </w:p>
        </w:tc>
      </w:tr>
      <w:tr>
        <w:tc>
          <w:tcPr>
            <w:tcW w:type="dxa" w:w="2880"/>
          </w:tcPr>
          <w:p>
            <w:r>
              <w:rPr>
                <w:rFonts w:ascii="Arial" w:hAnsi="Arial"/>
                <w:sz w:val="17"/>
              </w:rPr>
            </w:r>
            <w:r>
              <w:rPr>
                <w:rFonts w:ascii="Arial" w:hAnsi="Arial"/>
                <w:sz w:val="17"/>
              </w:rPr>
              <w:t>14.2</w:t>
            </w:r>
          </w:p>
        </w:tc>
        <w:tc>
          <w:tcPr>
            <w:tcW w:type="dxa" w:w="2880"/>
          </w:tcPr>
          <w:p>
            <w:r>
              <w:rPr>
                <w:rFonts w:ascii="Arial" w:hAnsi="Arial"/>
                <w:sz w:val="17"/>
              </w:rPr>
            </w:r>
            <w:r>
              <w:rPr>
                <w:rFonts w:ascii="Arial" w:hAnsi="Arial"/>
                <w:sz w:val="17"/>
              </w:rPr>
              <w:t>Advance Payment</w:t>
            </w:r>
          </w:p>
        </w:tc>
        <w:tc>
          <w:tcPr>
            <w:tcW w:type="dxa" w:w="2880"/>
          </w:tcPr>
          <w:p>
            <w:r>
              <w:rPr>
                <w:rFonts w:ascii="Arial" w:hAnsi="Arial"/>
                <w:sz w:val="17"/>
              </w:rPr>
            </w:r>
            <w:r>
              <w:rPr>
                <w:rFonts w:ascii="Arial" w:hAnsi="Arial"/>
                <w:b/>
                <w:sz w:val="17"/>
              </w:rPr>
              <w:t>None</w:t>
            </w:r>
          </w:p>
        </w:tc>
      </w:tr>
      <w:tr>
        <w:tc>
          <w:tcPr>
            <w:tcW w:type="dxa" w:w="2880"/>
          </w:tcPr>
          <w:p>
            <w:r>
              <w:rPr>
                <w:rFonts w:ascii="Arial" w:hAnsi="Arial"/>
                <w:sz w:val="17"/>
              </w:rPr>
            </w:r>
            <w:r>
              <w:rPr>
                <w:rFonts w:ascii="Arial" w:hAnsi="Arial"/>
                <w:sz w:val="17"/>
              </w:rPr>
              <w:t>14.3</w:t>
            </w:r>
          </w:p>
        </w:tc>
        <w:tc>
          <w:tcPr>
            <w:tcW w:type="dxa" w:w="2880"/>
          </w:tcPr>
          <w:p>
            <w:r>
              <w:rPr>
                <w:rFonts w:ascii="Arial" w:hAnsi="Arial"/>
                <w:sz w:val="17"/>
              </w:rPr>
            </w:r>
            <w:r>
              <w:rPr>
                <w:rFonts w:ascii="Arial" w:hAnsi="Arial"/>
                <w:sz w:val="17"/>
              </w:rPr>
              <w:t>Retention</w:t>
            </w:r>
          </w:p>
        </w:tc>
        <w:tc>
          <w:tcPr>
            <w:tcW w:type="dxa" w:w="2880"/>
          </w:tcPr>
          <w:p>
            <w:r>
              <w:rPr>
                <w:rFonts w:ascii="Arial" w:hAnsi="Arial"/>
                <w:sz w:val="17"/>
              </w:rPr>
            </w:r>
            <w:r>
              <w:rPr>
                <w:rFonts w:ascii="Arial" w:hAnsi="Arial"/>
                <w:b/>
                <w:sz w:val="17"/>
              </w:rPr>
              <w:t>10% of each Interim Payment Certificate</w:t>
            </w:r>
            <w:r>
              <w:rPr>
                <w:rFonts w:ascii="Arial" w:hAnsi="Arial"/>
                <w:sz w:val="17"/>
              </w:rPr>
              <w:t>, cash retention only</w:t>
            </w:r>
          </w:p>
        </w:tc>
      </w:tr>
      <w:tr>
        <w:tc>
          <w:tcPr>
            <w:tcW w:type="dxa" w:w="2880"/>
          </w:tcPr>
          <w:p>
            <w:r>
              <w:rPr>
                <w:rFonts w:ascii="Arial" w:hAnsi="Arial"/>
                <w:sz w:val="17"/>
              </w:rPr>
            </w:r>
            <w:r>
              <w:rPr>
                <w:rFonts w:ascii="Arial" w:hAnsi="Arial"/>
                <w:sz w:val="17"/>
              </w:rPr>
              <w:t>14.3</w:t>
            </w:r>
          </w:p>
        </w:tc>
        <w:tc>
          <w:tcPr>
            <w:tcW w:type="dxa" w:w="2880"/>
          </w:tcPr>
          <w:p>
            <w:r>
              <w:rPr>
                <w:rFonts w:ascii="Arial" w:hAnsi="Arial"/>
                <w:sz w:val="17"/>
              </w:rPr>
            </w:r>
            <w:r>
              <w:rPr>
                <w:rFonts w:ascii="Arial" w:hAnsi="Arial"/>
                <w:sz w:val="17"/>
              </w:rPr>
              <w:t>Limit of Retention Money</w:t>
            </w:r>
          </w:p>
        </w:tc>
        <w:tc>
          <w:tcPr>
            <w:tcW w:type="dxa" w:w="2880"/>
          </w:tcPr>
          <w:p>
            <w:r>
              <w:rPr>
                <w:rFonts w:ascii="Arial" w:hAnsi="Arial"/>
                <w:sz w:val="17"/>
              </w:rPr>
            </w:r>
            <w:r>
              <w:rPr>
                <w:rFonts w:ascii="Arial" w:hAnsi="Arial"/>
                <w:sz w:val="17"/>
              </w:rPr>
              <w:t>No limit</w:t>
            </w:r>
          </w:p>
        </w:tc>
      </w:tr>
      <w:tr>
        <w:tc>
          <w:tcPr>
            <w:tcW w:type="dxa" w:w="2880"/>
          </w:tcPr>
          <w:p>
            <w:r>
              <w:rPr>
                <w:rFonts w:ascii="Arial" w:hAnsi="Arial"/>
                <w:sz w:val="17"/>
              </w:rPr>
            </w:r>
            <w:r>
              <w:rPr>
                <w:rFonts w:ascii="Arial" w:hAnsi="Arial"/>
                <w:sz w:val="17"/>
              </w:rPr>
              <w:t>14.6</w:t>
            </w:r>
          </w:p>
        </w:tc>
        <w:tc>
          <w:tcPr>
            <w:tcW w:type="dxa" w:w="2880"/>
          </w:tcPr>
          <w:p>
            <w:r>
              <w:rPr>
                <w:rFonts w:ascii="Arial" w:hAnsi="Arial"/>
                <w:sz w:val="17"/>
              </w:rPr>
            </w:r>
            <w:r>
              <w:rPr>
                <w:rFonts w:ascii="Arial" w:hAnsi="Arial"/>
                <w:sz w:val="17"/>
              </w:rPr>
              <w:t>Period for the Engineer to issue an Interim Payment Certificate</w:t>
            </w:r>
          </w:p>
        </w:tc>
        <w:tc>
          <w:tcPr>
            <w:tcW w:type="dxa" w:w="2880"/>
          </w:tcPr>
          <w:p>
            <w:r>
              <w:rPr>
                <w:rFonts w:ascii="Arial" w:hAnsi="Arial"/>
                <w:sz w:val="17"/>
              </w:rPr>
            </w:r>
            <w:r>
              <w:rPr>
                <w:rFonts w:ascii="Arial" w:hAnsi="Arial"/>
                <w:b/>
                <w:sz w:val="17"/>
              </w:rPr>
              <w:t>42 days</w:t>
            </w:r>
            <w:r>
              <w:rPr>
                <w:rFonts w:ascii="Arial" w:hAnsi="Arial"/>
                <w:sz w:val="17"/>
              </w:rPr>
              <w:t xml:space="preserve"> after receipt of the Statement and supporting documents</w:t>
            </w:r>
          </w:p>
        </w:tc>
      </w:tr>
      <w:tr>
        <w:tc>
          <w:tcPr>
            <w:tcW w:type="dxa" w:w="2880"/>
          </w:tcPr>
          <w:p>
            <w:r>
              <w:rPr>
                <w:rFonts w:ascii="Arial" w:hAnsi="Arial"/>
                <w:sz w:val="17"/>
              </w:rPr>
            </w:r>
            <w:r>
              <w:rPr>
                <w:rFonts w:ascii="Arial" w:hAnsi="Arial"/>
                <w:sz w:val="17"/>
              </w:rPr>
              <w:t>14.7</w:t>
            </w:r>
          </w:p>
        </w:tc>
        <w:tc>
          <w:tcPr>
            <w:tcW w:type="dxa" w:w="2880"/>
          </w:tcPr>
          <w:p>
            <w:r>
              <w:rPr>
                <w:rFonts w:ascii="Arial" w:hAnsi="Arial"/>
                <w:sz w:val="17"/>
              </w:rPr>
            </w:r>
            <w:r>
              <w:rPr>
                <w:rFonts w:ascii="Arial" w:hAnsi="Arial"/>
                <w:sz w:val="17"/>
              </w:rPr>
              <w:t>Period for payment by the Employer</w:t>
            </w:r>
          </w:p>
        </w:tc>
        <w:tc>
          <w:tcPr>
            <w:tcW w:type="dxa" w:w="2880"/>
          </w:tcPr>
          <w:p>
            <w:r>
              <w:rPr>
                <w:rFonts w:ascii="Arial" w:hAnsi="Arial"/>
                <w:sz w:val="17"/>
              </w:rPr>
            </w:r>
            <w:r>
              <w:rPr>
                <w:rFonts w:ascii="Arial" w:hAnsi="Arial"/>
                <w:b/>
                <w:sz w:val="17"/>
              </w:rPr>
              <w:t>75 days</w:t>
            </w:r>
            <w:r>
              <w:rPr>
                <w:rFonts w:ascii="Arial" w:hAnsi="Arial"/>
                <w:sz w:val="17"/>
              </w:rPr>
              <w:t xml:space="preserve"> after the Engineer issues the Interim Payment Certificate</w:t>
            </w:r>
          </w:p>
        </w:tc>
      </w:tr>
      <w:tr>
        <w:tc>
          <w:tcPr>
            <w:tcW w:type="dxa" w:w="2880"/>
          </w:tcPr>
          <w:p>
            <w:r>
              <w:rPr>
                <w:rFonts w:ascii="Arial" w:hAnsi="Arial"/>
                <w:sz w:val="17"/>
              </w:rPr>
            </w:r>
            <w:r>
              <w:rPr>
                <w:rFonts w:ascii="Arial" w:hAnsi="Arial"/>
                <w:sz w:val="17"/>
              </w:rPr>
              <w:t>14.8</w:t>
            </w:r>
          </w:p>
        </w:tc>
        <w:tc>
          <w:tcPr>
            <w:tcW w:type="dxa" w:w="2880"/>
          </w:tcPr>
          <w:p>
            <w:r>
              <w:rPr>
                <w:rFonts w:ascii="Arial" w:hAnsi="Arial"/>
                <w:sz w:val="17"/>
              </w:rPr>
            </w:r>
            <w:r>
              <w:rPr>
                <w:rFonts w:ascii="Arial" w:hAnsi="Arial"/>
                <w:sz w:val="17"/>
              </w:rPr>
              <w:t>Financing charges on delayed payment</w:t>
            </w:r>
          </w:p>
        </w:tc>
        <w:tc>
          <w:tcPr>
            <w:tcW w:type="dxa" w:w="2880"/>
          </w:tcPr>
          <w:p>
            <w:r>
              <w:rPr>
                <w:rFonts w:ascii="Arial" w:hAnsi="Arial"/>
                <w:sz w:val="17"/>
              </w:rPr>
            </w:r>
            <w:r>
              <w:rPr>
                <w:rFonts w:ascii="Arial" w:hAnsi="Arial"/>
                <w:sz w:val="17"/>
              </w:rPr>
              <w:t>2% per annum above the European Central Bank main refinancing rate</w:t>
            </w:r>
          </w:p>
        </w:tc>
      </w:tr>
      <w:tr>
        <w:tc>
          <w:tcPr>
            <w:tcW w:type="dxa" w:w="2880"/>
          </w:tcPr>
          <w:p>
            <w:r>
              <w:rPr>
                <w:rFonts w:ascii="Arial" w:hAnsi="Arial"/>
                <w:sz w:val="17"/>
              </w:rPr>
            </w:r>
            <w:r>
              <w:rPr>
                <w:rFonts w:ascii="Arial" w:hAnsi="Arial"/>
                <w:sz w:val="17"/>
              </w:rPr>
              <w:t>14.9</w:t>
            </w:r>
          </w:p>
        </w:tc>
        <w:tc>
          <w:tcPr>
            <w:tcW w:type="dxa" w:w="2880"/>
          </w:tcPr>
          <w:p>
            <w:r>
              <w:rPr>
                <w:rFonts w:ascii="Arial" w:hAnsi="Arial"/>
                <w:sz w:val="17"/>
              </w:rPr>
            </w:r>
            <w:r>
              <w:rPr>
                <w:rFonts w:ascii="Arial" w:hAnsi="Arial"/>
                <w:sz w:val="17"/>
              </w:rPr>
              <w:t>Release of Retention Money</w:t>
            </w:r>
          </w:p>
        </w:tc>
        <w:tc>
          <w:tcPr>
            <w:tcW w:type="dxa" w:w="2880"/>
          </w:tcPr>
          <w:p>
            <w:r>
              <w:rPr>
                <w:rFonts w:ascii="Arial" w:hAnsi="Arial"/>
                <w:sz w:val="17"/>
              </w:rPr>
            </w:r>
            <w:r>
              <w:rPr>
                <w:rFonts w:ascii="Arial" w:hAnsi="Arial"/>
                <w:sz w:val="17"/>
              </w:rPr>
              <w:t>See Part B</w:t>
            </w:r>
          </w:p>
        </w:tc>
      </w:tr>
      <w:tr>
        <w:tc>
          <w:tcPr>
            <w:tcW w:type="dxa" w:w="2880"/>
          </w:tcPr>
          <w:p>
            <w:r>
              <w:rPr>
                <w:rFonts w:ascii="Arial" w:hAnsi="Arial"/>
                <w:sz w:val="17"/>
              </w:rPr>
            </w:r>
            <w:r>
              <w:rPr>
                <w:rFonts w:ascii="Arial" w:hAnsi="Arial"/>
                <w:sz w:val="17"/>
              </w:rPr>
              <w:t>19.2.1</w:t>
            </w:r>
          </w:p>
        </w:tc>
        <w:tc>
          <w:tcPr>
            <w:tcW w:type="dxa" w:w="2880"/>
          </w:tcPr>
          <w:p>
            <w:r>
              <w:rPr>
                <w:rFonts w:ascii="Arial" w:hAnsi="Arial"/>
                <w:sz w:val="17"/>
              </w:rPr>
            </w:r>
            <w:r>
              <w:rPr>
                <w:rFonts w:ascii="Arial" w:hAnsi="Arial"/>
                <w:sz w:val="17"/>
              </w:rPr>
              <w:t>Insurance of the Works</w:t>
            </w:r>
          </w:p>
        </w:tc>
        <w:tc>
          <w:tcPr>
            <w:tcW w:type="dxa" w:w="2880"/>
          </w:tcPr>
          <w:p>
            <w:r>
              <w:rPr>
                <w:rFonts w:ascii="Arial" w:hAnsi="Arial"/>
                <w:sz w:val="17"/>
              </w:rPr>
            </w:r>
            <w:r>
              <w:rPr>
                <w:rFonts w:ascii="Arial" w:hAnsi="Arial"/>
                <w:sz w:val="17"/>
              </w:rPr>
              <w:t>Full reinstatement value plus 15%, in the joint names of the Parties</w:t>
            </w:r>
          </w:p>
        </w:tc>
      </w:tr>
      <w:tr>
        <w:tc>
          <w:tcPr>
            <w:tcW w:type="dxa" w:w="2880"/>
          </w:tcPr>
          <w:p>
            <w:r>
              <w:rPr>
                <w:rFonts w:ascii="Arial" w:hAnsi="Arial"/>
                <w:sz w:val="17"/>
              </w:rPr>
            </w:r>
            <w:r>
              <w:rPr>
                <w:rFonts w:ascii="Arial" w:hAnsi="Arial"/>
                <w:sz w:val="17"/>
              </w:rPr>
              <w:t>19.2.3</w:t>
            </w:r>
          </w:p>
        </w:tc>
        <w:tc>
          <w:tcPr>
            <w:tcW w:type="dxa" w:w="2880"/>
          </w:tcPr>
          <w:p>
            <w:r>
              <w:rPr>
                <w:rFonts w:ascii="Arial" w:hAnsi="Arial"/>
                <w:sz w:val="17"/>
              </w:rPr>
            </w:r>
            <w:r>
              <w:rPr>
                <w:rFonts w:ascii="Arial" w:hAnsi="Arial"/>
                <w:sz w:val="17"/>
              </w:rPr>
              <w:t>Professional indemnity insurance</w:t>
            </w:r>
          </w:p>
        </w:tc>
        <w:tc>
          <w:tcPr>
            <w:tcW w:type="dxa" w:w="2880"/>
          </w:tcPr>
          <w:p>
            <w:r>
              <w:rPr>
                <w:rFonts w:ascii="Arial" w:hAnsi="Arial"/>
                <w:sz w:val="17"/>
              </w:rPr>
            </w:r>
            <w:r>
              <w:rPr>
                <w:rFonts w:ascii="Arial" w:hAnsi="Arial"/>
                <w:sz w:val="17"/>
              </w:rPr>
              <w:t>EUR 10,000,000 each and every claim, maintained for 6 years after the last Taking-Over Certificate</w:t>
            </w:r>
          </w:p>
        </w:tc>
      </w:tr>
      <w:tr>
        <w:tc>
          <w:tcPr>
            <w:tcW w:type="dxa" w:w="2880"/>
          </w:tcPr>
          <w:p>
            <w:r>
              <w:rPr>
                <w:rFonts w:ascii="Arial" w:hAnsi="Arial"/>
                <w:sz w:val="17"/>
              </w:rPr>
            </w:r>
            <w:r>
              <w:rPr>
                <w:rFonts w:ascii="Arial" w:hAnsi="Arial"/>
                <w:sz w:val="17"/>
              </w:rPr>
              <w:t>19.2.4</w:t>
            </w:r>
          </w:p>
        </w:tc>
        <w:tc>
          <w:tcPr>
            <w:tcW w:type="dxa" w:w="2880"/>
          </w:tcPr>
          <w:p>
            <w:r>
              <w:rPr>
                <w:rFonts w:ascii="Arial" w:hAnsi="Arial"/>
                <w:sz w:val="17"/>
              </w:rPr>
            </w:r>
            <w:r>
              <w:rPr>
                <w:rFonts w:ascii="Arial" w:hAnsi="Arial"/>
                <w:sz w:val="17"/>
              </w:rPr>
              <w:t>Third party liability</w:t>
            </w:r>
          </w:p>
        </w:tc>
        <w:tc>
          <w:tcPr>
            <w:tcW w:type="dxa" w:w="2880"/>
          </w:tcPr>
          <w:p>
            <w:r>
              <w:rPr>
                <w:rFonts w:ascii="Arial" w:hAnsi="Arial"/>
                <w:sz w:val="17"/>
              </w:rPr>
            </w:r>
            <w:r>
              <w:rPr>
                <w:rFonts w:ascii="Arial" w:hAnsi="Arial"/>
                <w:sz w:val="17"/>
              </w:rPr>
              <w:t>EUR 5,000,000 per occurrence, unlimited in the aggregate</w:t>
            </w:r>
          </w:p>
        </w:tc>
      </w:tr>
      <w:tr>
        <w:tc>
          <w:tcPr>
            <w:tcW w:type="dxa" w:w="2880"/>
          </w:tcPr>
          <w:p>
            <w:r>
              <w:rPr>
                <w:rFonts w:ascii="Arial" w:hAnsi="Arial"/>
                <w:sz w:val="17"/>
              </w:rPr>
            </w:r>
            <w:r>
              <w:rPr>
                <w:rFonts w:ascii="Arial" w:hAnsi="Arial"/>
                <w:sz w:val="17"/>
              </w:rPr>
              <w:t>21.6</w:t>
            </w:r>
          </w:p>
        </w:tc>
        <w:tc>
          <w:tcPr>
            <w:tcW w:type="dxa" w:w="2880"/>
          </w:tcPr>
          <w:p>
            <w:r>
              <w:rPr>
                <w:rFonts w:ascii="Arial" w:hAnsi="Arial"/>
                <w:sz w:val="17"/>
              </w:rPr>
            </w:r>
            <w:r>
              <w:rPr>
                <w:rFonts w:ascii="Arial" w:hAnsi="Arial"/>
                <w:sz w:val="17"/>
              </w:rPr>
              <w:t>Arbitration</w:t>
            </w:r>
          </w:p>
        </w:tc>
        <w:tc>
          <w:tcPr>
            <w:tcW w:type="dxa" w:w="2880"/>
          </w:tcPr>
          <w:p>
            <w:r>
              <w:rPr>
                <w:rFonts w:ascii="Arial" w:hAnsi="Arial"/>
                <w:sz w:val="17"/>
              </w:rPr>
            </w:r>
            <w:r>
              <w:rPr>
                <w:rFonts w:ascii="Arial" w:hAnsi="Arial"/>
                <w:sz w:val="17"/>
              </w:rPr>
              <w:t>See Part B</w:t>
            </w:r>
          </w:p>
        </w:tc>
      </w:tr>
    </w:tbl>
    <w:p/>
    <w:p>
      <w:pPr>
        <w:pStyle w:val="Heading3"/>
      </w:pPr>
      <w:r>
        <w:t>Sections, Times for Completion and Delay Damages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7"/>
              </w:rPr>
            </w:r>
            <w:r>
              <w:rPr>
                <w:rFonts w:ascii="Arial" w:hAnsi="Arial"/>
                <w:b/>
                <w:sz w:val="17"/>
              </w:rPr>
              <w:t>Section</w:t>
            </w:r>
          </w:p>
        </w:tc>
        <w:tc>
          <w:tcPr>
            <w:tcW w:type="dxa" w:w="2160"/>
          </w:tcPr>
          <w:p>
            <w:r>
              <w:rPr>
                <w:rFonts w:ascii="Arial" w:hAnsi="Arial"/>
                <w:b/>
                <w:sz w:val="17"/>
              </w:rPr>
            </w:r>
            <w:r>
              <w:rPr>
                <w:rFonts w:ascii="Arial" w:hAnsi="Arial"/>
                <w:b/>
                <w:sz w:val="17"/>
              </w:rPr>
              <w:t>Scope</w:t>
            </w:r>
          </w:p>
        </w:tc>
        <w:tc>
          <w:tcPr>
            <w:tcW w:type="dxa" w:w="2160"/>
          </w:tcPr>
          <w:p>
            <w:r>
              <w:rPr>
                <w:rFonts w:ascii="Arial" w:hAnsi="Arial"/>
                <w:b/>
                <w:sz w:val="17"/>
              </w:rPr>
            </w:r>
            <w:r>
              <w:rPr>
                <w:rFonts w:ascii="Arial" w:hAnsi="Arial"/>
                <w:b/>
                <w:sz w:val="17"/>
              </w:rPr>
              <w:t>Time for Completion</w:t>
            </w:r>
          </w:p>
        </w:tc>
        <w:tc>
          <w:tcPr>
            <w:tcW w:type="dxa" w:w="2160"/>
          </w:tcPr>
          <w:p>
            <w:r>
              <w:rPr>
                <w:rFonts w:ascii="Arial" w:hAnsi="Arial"/>
                <w:b/>
                <w:sz w:val="17"/>
              </w:rPr>
            </w:r>
            <w:r>
              <w:rPr>
                <w:rFonts w:ascii="Arial" w:hAnsi="Arial"/>
                <w:b/>
                <w:sz w:val="17"/>
              </w:rPr>
              <w:t>Delay Damages</w:t>
            </w:r>
          </w:p>
        </w:tc>
      </w:tr>
      <w:tr>
        <w:tc>
          <w:tcPr>
            <w:tcW w:type="dxa" w:w="2160"/>
          </w:tcPr>
          <w:p>
            <w:r>
              <w:rPr>
                <w:rFonts w:ascii="Arial" w:hAnsi="Arial"/>
                <w:sz w:val="17"/>
              </w:rPr>
            </w:r>
            <w:r>
              <w:rPr>
                <w:rFonts w:ascii="Arial" w:hAnsi="Arial"/>
                <w:sz w:val="17"/>
              </w:rPr>
              <w:t>1</w:t>
            </w:r>
          </w:p>
        </w:tc>
        <w:tc>
          <w:tcPr>
            <w:tcW w:type="dxa" w:w="2160"/>
          </w:tcPr>
          <w:p>
            <w:r>
              <w:rPr>
                <w:rFonts w:ascii="Arial" w:hAnsi="Arial"/>
                <w:sz w:val="17"/>
              </w:rPr>
            </w:r>
            <w:r>
              <w:rPr>
                <w:rFonts w:ascii="Arial" w:hAnsi="Arial"/>
                <w:sz w:val="17"/>
              </w:rPr>
              <w:t>Data Hall 1, primary substation, generator compound, shared cooling spine sized for the full 10 MW, site access, gatehouse</w:t>
            </w:r>
          </w:p>
        </w:tc>
        <w:tc>
          <w:tcPr>
            <w:tcW w:type="dxa" w:w="2160"/>
          </w:tcPr>
          <w:p>
            <w:r>
              <w:rPr>
                <w:rFonts w:ascii="Arial" w:hAnsi="Arial"/>
                <w:sz w:val="17"/>
              </w:rPr>
            </w:r>
            <w:r>
              <w:rPr>
                <w:rFonts w:ascii="Arial" w:hAnsi="Arial"/>
                <w:sz w:val="17"/>
              </w:rPr>
              <w:t>Month 14</w:t>
            </w:r>
          </w:p>
        </w:tc>
        <w:tc>
          <w:tcPr>
            <w:tcW w:type="dxa" w:w="2160"/>
          </w:tcPr>
          <w:p>
            <w:r>
              <w:rPr>
                <w:rFonts w:ascii="Arial" w:hAnsi="Arial"/>
                <w:sz w:val="17"/>
              </w:rPr>
            </w:r>
            <w:r>
              <w:rPr>
                <w:rFonts w:ascii="Arial" w:hAnsi="Arial"/>
                <w:b/>
                <w:sz w:val="17"/>
              </w:rPr>
              <w:t>EUR 18,000 per day</w:t>
            </w:r>
          </w:p>
        </w:tc>
      </w:tr>
      <w:tr>
        <w:tc>
          <w:tcPr>
            <w:tcW w:type="dxa" w:w="2160"/>
          </w:tcPr>
          <w:p>
            <w:r>
              <w:rPr>
                <w:rFonts w:ascii="Arial" w:hAnsi="Arial"/>
                <w:sz w:val="17"/>
              </w:rPr>
            </w:r>
            <w:r>
              <w:rPr>
                <w:rFonts w:ascii="Arial" w:hAnsi="Arial"/>
                <w:sz w:val="17"/>
              </w:rPr>
              <w:t>2</w:t>
            </w:r>
          </w:p>
        </w:tc>
        <w:tc>
          <w:tcPr>
            <w:tcW w:type="dxa" w:w="2160"/>
          </w:tcPr>
          <w:p>
            <w:r>
              <w:rPr>
                <w:rFonts w:ascii="Arial" w:hAnsi="Arial"/>
                <w:sz w:val="17"/>
              </w:rPr>
            </w:r>
            <w:r>
              <w:rPr>
                <w:rFonts w:ascii="Arial" w:hAnsi="Arial"/>
                <w:sz w:val="17"/>
              </w:rPr>
              <w:t>Data Hall 2 and associated plant</w:t>
            </w:r>
          </w:p>
        </w:tc>
        <w:tc>
          <w:tcPr>
            <w:tcW w:type="dxa" w:w="2160"/>
          </w:tcPr>
          <w:p>
            <w:r>
              <w:rPr>
                <w:rFonts w:ascii="Arial" w:hAnsi="Arial"/>
                <w:sz w:val="17"/>
              </w:rPr>
            </w:r>
            <w:r>
              <w:rPr>
                <w:rFonts w:ascii="Arial" w:hAnsi="Arial"/>
                <w:sz w:val="17"/>
              </w:rPr>
              <w:t>Month 16</w:t>
            </w:r>
          </w:p>
        </w:tc>
        <w:tc>
          <w:tcPr>
            <w:tcW w:type="dxa" w:w="2160"/>
          </w:tcPr>
          <w:p>
            <w:r>
              <w:rPr>
                <w:rFonts w:ascii="Arial" w:hAnsi="Arial"/>
                <w:sz w:val="17"/>
              </w:rPr>
            </w:r>
            <w:r>
              <w:rPr>
                <w:rFonts w:ascii="Arial" w:hAnsi="Arial"/>
                <w:b/>
                <w:sz w:val="17"/>
              </w:rPr>
              <w:t>EUR 12,000 per day</w:t>
            </w:r>
          </w:p>
        </w:tc>
      </w:tr>
      <w:tr>
        <w:tc>
          <w:tcPr>
            <w:tcW w:type="dxa" w:w="2160"/>
          </w:tcPr>
          <w:p>
            <w:r>
              <w:rPr>
                <w:rFonts w:ascii="Arial" w:hAnsi="Arial"/>
                <w:sz w:val="17"/>
              </w:rPr>
            </w:r>
            <w:r>
              <w:rPr>
                <w:rFonts w:ascii="Arial" w:hAnsi="Arial"/>
                <w:sz w:val="17"/>
              </w:rPr>
              <w:t>3</w:t>
            </w:r>
          </w:p>
        </w:tc>
        <w:tc>
          <w:tcPr>
            <w:tcW w:type="dxa" w:w="2160"/>
          </w:tcPr>
          <w:p>
            <w:r>
              <w:rPr>
                <w:rFonts w:ascii="Arial" w:hAnsi="Arial"/>
                <w:sz w:val="17"/>
              </w:rPr>
            </w:r>
            <w:r>
              <w:rPr>
                <w:rFonts w:ascii="Arial" w:hAnsi="Arial"/>
                <w:sz w:val="17"/>
              </w:rPr>
              <w:t>Data Hall 3 and associated plant</w:t>
            </w:r>
          </w:p>
        </w:tc>
        <w:tc>
          <w:tcPr>
            <w:tcW w:type="dxa" w:w="2160"/>
          </w:tcPr>
          <w:p>
            <w:r>
              <w:rPr>
                <w:rFonts w:ascii="Arial" w:hAnsi="Arial"/>
                <w:sz w:val="17"/>
              </w:rPr>
            </w:r>
            <w:r>
              <w:rPr>
                <w:rFonts w:ascii="Arial" w:hAnsi="Arial"/>
                <w:sz w:val="17"/>
              </w:rPr>
              <w:t>Month 19</w:t>
            </w:r>
          </w:p>
        </w:tc>
        <w:tc>
          <w:tcPr>
            <w:tcW w:type="dxa" w:w="2160"/>
          </w:tcPr>
          <w:p>
            <w:r>
              <w:rPr>
                <w:rFonts w:ascii="Arial" w:hAnsi="Arial"/>
                <w:sz w:val="17"/>
              </w:rPr>
            </w:r>
            <w:r>
              <w:rPr>
                <w:rFonts w:ascii="Arial" w:hAnsi="Arial"/>
                <w:b/>
                <w:sz w:val="17"/>
              </w:rPr>
              <w:t>EUR 12,000 per day</w:t>
            </w:r>
          </w:p>
        </w:tc>
      </w:tr>
      <w:tr>
        <w:tc>
          <w:tcPr>
            <w:tcW w:type="dxa" w:w="2160"/>
          </w:tcPr>
          <w:p>
            <w:r>
              <w:rPr>
                <w:rFonts w:ascii="Arial" w:hAnsi="Arial"/>
                <w:sz w:val="17"/>
              </w:rPr>
            </w:r>
            <w:r>
              <w:rPr>
                <w:rFonts w:ascii="Arial" w:hAnsi="Arial"/>
                <w:sz w:val="17"/>
              </w:rPr>
              <w:t>4</w:t>
            </w:r>
          </w:p>
        </w:tc>
        <w:tc>
          <w:tcPr>
            <w:tcW w:type="dxa" w:w="2160"/>
          </w:tcPr>
          <w:p>
            <w:r>
              <w:rPr>
                <w:rFonts w:ascii="Arial" w:hAnsi="Arial"/>
                <w:sz w:val="17"/>
              </w:rPr>
            </w:r>
            <w:r>
              <w:rPr>
                <w:rFonts w:ascii="Arial" w:hAnsi="Arial"/>
                <w:sz w:val="17"/>
              </w:rPr>
              <w:t>Data Hall 4, administration and NOC block, external works, landscaping</w:t>
            </w:r>
          </w:p>
        </w:tc>
        <w:tc>
          <w:tcPr>
            <w:tcW w:type="dxa" w:w="2160"/>
          </w:tcPr>
          <w:p>
            <w:r>
              <w:rPr>
                <w:rFonts w:ascii="Arial" w:hAnsi="Arial"/>
                <w:sz w:val="17"/>
              </w:rPr>
            </w:r>
            <w:r>
              <w:rPr>
                <w:rFonts w:ascii="Arial" w:hAnsi="Arial"/>
                <w:sz w:val="17"/>
              </w:rPr>
              <w:t>Month 22</w:t>
            </w:r>
          </w:p>
        </w:tc>
        <w:tc>
          <w:tcPr>
            <w:tcW w:type="dxa" w:w="2160"/>
          </w:tcPr>
          <w:p>
            <w:r>
              <w:rPr>
                <w:rFonts w:ascii="Arial" w:hAnsi="Arial"/>
                <w:sz w:val="17"/>
              </w:rPr>
            </w:r>
            <w:r>
              <w:rPr>
                <w:rFonts w:ascii="Arial" w:hAnsi="Arial"/>
                <w:b/>
                <w:sz w:val="17"/>
              </w:rPr>
              <w:t>EUR 10,000 per day</w:t>
            </w:r>
          </w:p>
        </w:tc>
      </w:tr>
    </w:tbl>
    <w:p/>
    <w:p>
      <w:r>
        <w:t xml:space="preserve">Delay Damages for each Section accrue independently. Where two or more Sections are concurrently in delay, Delay Damages accrue </w:t>
      </w:r>
      <w:r>
        <w:rPr>
          <w:b/>
        </w:rPr>
        <w:t>cumulatively</w:t>
      </w:r>
      <w:r>
        <w:t xml:space="preserve"> for each such Section.</w:t>
      </w:r>
    </w:p>
    <w:p>
      <w:r>
        <w:rPr>
          <w:color w:val="BBBBBB"/>
        </w:rPr>
        <w:t>____________________________________________________________</w:t>
      </w:r>
    </w:p>
    <w:p>
      <w:pPr>
        <w:pStyle w:val="Heading1"/>
      </w:pPr>
      <w:r>
        <w:t>PART B — SPECIAL PROVISIONS</w:t>
      </w:r>
    </w:p>
    <w:p>
      <w:pPr>
        <w:pStyle w:val="Heading2"/>
      </w:pPr>
      <w:r>
        <w:t>Clause 1 — General Provisions</w:t>
      </w:r>
    </w:p>
    <w:p>
      <w:pPr>
        <w:pStyle w:val="Heading3"/>
      </w:pPr>
      <w:r>
        <w:t>SP-1 — Sub-Clause 1.5 (Priority of Documents)</w:t>
      </w:r>
    </w:p>
    <w:p>
      <w:r>
        <w:t>The list in Sub-Clause 1.5 is deleted and replaced by the following order of priority:</w:t>
      </w:r>
    </w:p>
    <w:p>
      <w:pPr>
        <w:pStyle w:val="ListNumber"/>
      </w:pPr>
      <w:r>
        <w:t>the Contract Agreement;</w:t>
      </w:r>
    </w:p>
    <w:p>
      <w:pPr>
        <w:pStyle w:val="ListNumber"/>
      </w:pPr>
      <w:r>
        <w:t>the Letter of Acceptance;</w:t>
      </w:r>
    </w:p>
    <w:p>
      <w:pPr>
        <w:pStyle w:val="ListNumber"/>
      </w:pPr>
      <w:r>
        <w:t>these Particular Conditions (Part B, then Part A);</w:t>
      </w:r>
    </w:p>
    <w:p>
      <w:pPr>
        <w:pStyle w:val="ListNumber"/>
      </w:pPr>
      <w:r>
        <w:t>the General Conditions;</w:t>
      </w:r>
    </w:p>
    <w:p>
      <w:pPr>
        <w:pStyle w:val="ListNumber"/>
      </w:pPr>
      <w:r>
        <w:t>the Employer's Requirements;</w:t>
      </w:r>
    </w:p>
    <w:p>
      <w:pPr>
        <w:pStyle w:val="ListNumber"/>
      </w:pPr>
      <w:r>
        <w:t>the Anchor Tenant Technical Annex;</w:t>
      </w:r>
    </w:p>
    <w:p>
      <w:pPr>
        <w:pStyle w:val="ListNumber"/>
      </w:pPr>
      <w:r>
        <w:t>the Schedules and the Contractor's Proposal;</w:t>
      </w:r>
    </w:p>
    <w:p>
      <w:pPr>
        <w:pStyle w:val="ListNumber"/>
      </w:pPr>
      <w:r>
        <w:t>any other document forming part of the Contract.</w:t>
      </w:r>
    </w:p>
    <w:p>
      <w:pPr>
        <w:pStyle w:val="Heading3"/>
      </w:pPr>
      <w:r>
        <w:t>SP-2 — Sub-Clause 1.9 (Errors in the Employer's Requirements)</w:t>
      </w:r>
    </w:p>
    <w:p>
      <w:r>
        <w:rPr>
          <w:b/>
        </w:rPr>
        <w:t>Sub-Clause 1.9 is deleted in its entirety.</w:t>
      </w:r>
    </w:p>
    <w:p>
      <w:r>
        <w:t>The Contractor shall be deemed to have examined the Employer's Requirements and the Anchor Tenant Technical Annex before the Base Date and to have satisfied itself as to their accuracy, sufficiency and completeness. No error, omission or inconsistency in those documents shall entitle the Contractor to any extension of time, additional payment, or relief from any performance guarantee.</w:t>
      </w:r>
    </w:p>
    <w:p>
      <w:pPr>
        <w:pStyle w:val="Heading3"/>
      </w:pPr>
      <w:r>
        <w:t>SP-3 — Sub-Clause 1.15 (Limitation of Liability)</w:t>
      </w:r>
    </w:p>
    <w:p>
      <w:r>
        <w:rPr>
          <w:b/>
        </w:rPr>
        <w:t>Sub-Clause 1.15 is deleted in its entirety.</w:t>
      </w:r>
    </w:p>
    <w:p>
      <w:pPr>
        <w:pStyle w:val="Heading2"/>
      </w:pPr>
      <w:r>
        <w:t>Clause 4 — The Contractor</w:t>
      </w:r>
    </w:p>
    <w:p>
      <w:pPr>
        <w:pStyle w:val="Heading3"/>
      </w:pPr>
      <w:r>
        <w:t>SP-4 — Sub-Clause 4.4 (Subcontractors)</w:t>
      </w:r>
    </w:p>
    <w:p>
      <w:r>
        <w:t>The following is added to Sub-Clause 4.4:</w:t>
      </w:r>
    </w:p>
    <w:p>
      <w:pPr>
        <w:pStyle w:val="IntenseQuote"/>
      </w:pPr>
      <w:r>
        <w:t>"(e) Every subcontract shall provide for payment to the Subcontractor no earlier than 60 days after the Subcontractor's valid invoice, and shall provide that no sum becomes due to the Subcontractor in respect of any work unless and until the Employer has paid the Contractor for that work.  (f) The Contractor shall procure and maintain evidence of each Subcontractor's compliance with the Act on the Contractor's Obligations and Liability when Work is Contracted Out (1233/2006), and shall produce that evidence to the Engineer at intervals not exceeding three months."</w:t>
      </w:r>
    </w:p>
    <w:p>
      <w:pPr>
        <w:pStyle w:val="Heading3"/>
      </w:pPr>
      <w:r>
        <w:t>SP-5 — Sub-Clause 4.12 (Unforeseeable Physical Conditions)</w:t>
      </w:r>
    </w:p>
    <w:p>
      <w:r>
        <w:rPr>
          <w:b/>
        </w:rPr>
        <w:t>Sub-Clause 4.12 is deleted in its entirety, including Sub-Clauses 4.12.1 to 4.12.5.</w:t>
      </w:r>
    </w:p>
    <w:p>
      <w:r>
        <w:t>The Contractor accepts full responsibility for all physical conditions at or under the Site, whether or not foreseeable, and shall be deemed to have inspected and examined the Site, its surroundings and the sub-surface conditions and to have satisfied itself as to all matters relating to them. Any site or ground investigation data provided by the Employer is provided for information only, is not warranted, and does not form part of the Contract.</w:t>
      </w:r>
    </w:p>
    <w:p>
      <w:pPr>
        <w:pStyle w:val="Heading2"/>
      </w:pPr>
      <w:r>
        <w:t>Clause 5 — Design</w:t>
      </w:r>
    </w:p>
    <w:p>
      <w:pPr>
        <w:pStyle w:val="Heading3"/>
      </w:pPr>
      <w:r>
        <w:t>SP-6 — Sub-Clause 5.1 (General Design Obligations)</w:t>
      </w:r>
    </w:p>
    <w:p>
      <w:r>
        <w:t>The following is added at the end of Sub-Clause 5.1:</w:t>
      </w:r>
    </w:p>
    <w:p>
      <w:pPr>
        <w:pStyle w:val="IntenseQuote"/>
      </w:pPr>
      <w:r>
        <w:t>"The Contractor warrants that it has verified the Employer's Requirements and the Anchor Tenant Technical Annex and that the Works, when completed, will achieve every performance guarantee stated in them, including the annualised PUE, the water use effectiveness figure, the facility availability figure and the waste-heat delivery obligation. This warranty is absolute and is not qualified by any standard of reasonable skill and care."</w:t>
      </w:r>
    </w:p>
    <w:p>
      <w:pPr>
        <w:pStyle w:val="Heading2"/>
      </w:pPr>
      <w:r>
        <w:t>Clause 8 — Commencement, Delays and Suspension</w:t>
      </w:r>
    </w:p>
    <w:p>
      <w:pPr>
        <w:pStyle w:val="Heading3"/>
      </w:pPr>
      <w:r>
        <w:t>SP-7 — Sub-Clause 8.5 (Extension of Time for Completion)</w:t>
      </w:r>
    </w:p>
    <w:p>
      <w:r>
        <w:t>The following is added at the end of Sub-Clause 8.5:</w:t>
      </w:r>
    </w:p>
    <w:p>
      <w:pPr>
        <w:pStyle w:val="IntenseQuote"/>
      </w:pPr>
      <w:r>
        <w:t>"Notwithstanding any other provision, the Contractor shall have no entitlement to an extension of the Time for Completion of any Section in respect of any period during which a delay for which the Contractor is responsible is concurrent, in whole or in part, with a delay for which an extension might otherwise be granted. In such a case the whole of the concurrent period shall be treated as Contractor-culpable delay."</w:t>
      </w:r>
    </w:p>
    <w:p>
      <w:pPr>
        <w:pStyle w:val="Heading3"/>
      </w:pPr>
      <w:r>
        <w:t>SP-8 — Sub-Clause 8.8 (Delay Damages)</w:t>
      </w:r>
    </w:p>
    <w:p>
      <w:r>
        <w:t>The following is added at the end of Sub-Clause 8.8:</w:t>
      </w:r>
    </w:p>
    <w:p>
      <w:pPr>
        <w:pStyle w:val="IntenseQuote"/>
      </w:pPr>
      <w:r>
        <w:t>"The Parties agree that the Delay Damages stated in Part A are a genuine pre-estimate of the Employer's loss, including its liability for service credits to the Tenant, and are not a penalty. The Contractor waives any right to challenge their quantum. Payment of Delay Damages up to the maximum stated in Part A does not limit the Employer's right to recover damages for any other breach, whether or not that breach also caused delay."</w:t>
      </w:r>
    </w:p>
    <w:p>
      <w:pPr>
        <w:pStyle w:val="Heading2"/>
      </w:pPr>
      <w:r>
        <w:t>Clause 13 — Variations and Adjustments</w:t>
      </w:r>
    </w:p>
    <w:p>
      <w:pPr>
        <w:pStyle w:val="Heading3"/>
      </w:pPr>
      <w:r>
        <w:t>SP-9 — Sub-Clause 13.3.1 (Variation by Instruction)</w:t>
      </w:r>
    </w:p>
    <w:p>
      <w:r>
        <w:t>The following is added:</w:t>
      </w:r>
    </w:p>
    <w:p>
      <w:pPr>
        <w:pStyle w:val="IntenseQuote"/>
      </w:pPr>
      <w:r>
        <w:t>"The Contractor shall commence execution of any Variation instructed under Sub-Clause 13.3.1 immediately on receipt of the instruction, whether or not the adjustment to the Contract Price and to the Time for Completion has been agreed or determined. Failure to proceed immediately shall be a substantial failure to perform for the purposes of Sub-Clause 15.2."</w:t>
      </w:r>
    </w:p>
    <w:p>
      <w:pPr>
        <w:pStyle w:val="Heading3"/>
      </w:pPr>
      <w:r>
        <w:t>SP-10 — Sub-Clause 13.7 (Adjustments for Changes in Cost)</w:t>
      </w:r>
    </w:p>
    <w:p>
      <w:r>
        <w:rPr>
          <w:b/>
        </w:rPr>
        <w:t>Sub-Clause 13.7 is deleted in its entirety.</w:t>
      </w:r>
      <w:r>
        <w:t xml:space="preserve"> The Contract Price shall not be adjusted for rises or falls in the cost of labour, Goods or any other input, however arising.</w:t>
      </w:r>
    </w:p>
    <w:p>
      <w:pPr>
        <w:pStyle w:val="Heading2"/>
      </w:pPr>
      <w:r>
        <w:t>Clause 14 — Contract Price and Payment</w:t>
      </w:r>
    </w:p>
    <w:p>
      <w:pPr>
        <w:pStyle w:val="Heading3"/>
      </w:pPr>
      <w:r>
        <w:t>SP-11 — Sub-Clause 14.2 (Advance Payment)</w:t>
      </w:r>
    </w:p>
    <w:p>
      <w:r>
        <w:rPr>
          <w:b/>
        </w:rPr>
        <w:t>Sub-Clause 14.2 is deleted in its entirety, including Sub-Clauses 14.2.1 to 14.2.3.</w:t>
      </w:r>
      <w:r>
        <w:t xml:space="preserve"> No advance payment shall be made.</w:t>
      </w:r>
    </w:p>
    <w:p>
      <w:pPr>
        <w:pStyle w:val="Heading3"/>
      </w:pPr>
      <w:r>
        <w:t>SP-12 — Sub-Clause 14.6 (Issue of IPC)</w:t>
      </w:r>
    </w:p>
    <w:p>
      <w:r>
        <w:t>The following is added:</w:t>
      </w:r>
    </w:p>
    <w:p>
      <w:pPr>
        <w:pStyle w:val="IntenseQuote"/>
      </w:pPr>
      <w:r>
        <w:t>"No sum shall be treated as certified, approved, agreed or admitted by reason of the Engineer's failure to issue an Interim Payment Certificate within the period stated in Part A, or by reason of the Employer's failure to respond to any Statement."</w:t>
      </w:r>
    </w:p>
    <w:p>
      <w:pPr>
        <w:pStyle w:val="Heading3"/>
      </w:pPr>
      <w:r>
        <w:t>SP-13 — Sub-Clause 14.9 (Release of Retention Money)</w:t>
      </w:r>
    </w:p>
    <w:p>
      <w:r>
        <w:t>Sub-Clause 14.9 is deleted and replaced by the following:</w:t>
      </w:r>
    </w:p>
    <w:p>
      <w:pPr>
        <w:pStyle w:val="IntenseQuote"/>
      </w:pPr>
      <w:r>
        <w:t>"The whole of the Retention Money shall be retained by the Employer until the expiry of the last Defects Notification Period for all Sections and the issue of the Performance Certificate, whereupon it shall be certified for payment. No part of the Retention Money shall be released on the issue of any Taking-Over Certificate, and the Contractor shall have no right to substitute a bond or guarantee for any part of it."</w:t>
      </w:r>
    </w:p>
    <w:p>
      <w:pPr>
        <w:pStyle w:val="Heading2"/>
      </w:pPr>
      <w:r>
        <w:t>Clause 18 — Exceptional Events</w:t>
      </w:r>
    </w:p>
    <w:p>
      <w:pPr>
        <w:pStyle w:val="Heading3"/>
      </w:pPr>
      <w:r>
        <w:t>SP-14 — Sub-Clause 18.1 (Exceptional Events)</w:t>
      </w:r>
    </w:p>
    <w:p>
      <w:r>
        <w:t>The list of events in Sub-Clause 18.1 is deleted and replaced by the following, which is exhaustive:</w:t>
      </w:r>
    </w:p>
    <w:p>
      <w:pPr>
        <w:pStyle w:val="IntenseQuote"/>
      </w:pPr>
      <w:r>
        <w:t>"(a) war, hostilities, invasion or act of foreign enemies; (b) rebellion, terrorism, revolution, insurrection, or civil war; (c) riot or commotion by persons other than the Contractor's Personnel; (d) munitions of war, explosive materials or ionising radiation, except as may be attributable to the Contractor's use of the same.  For the avoidance of doubt, no weather condition however severe, no epidemic or pandemic, no act, omission, delay or requirement of any public authority, and no shortage or unavailability of labour, Goods, energy or transport shall constitute an Exceptional Event."</w:t>
      </w:r>
    </w:p>
    <w:p>
      <w:pPr>
        <w:pStyle w:val="Heading2"/>
      </w:pPr>
      <w:r>
        <w:t>Clause 20 — Employer's and Contractor's Claims</w:t>
      </w:r>
    </w:p>
    <w:p>
      <w:pPr>
        <w:pStyle w:val="Heading3"/>
      </w:pPr>
      <w:r>
        <w:t>SP-15 — Sub-Clause 20.2.1 (Notice of Claim)</w:t>
      </w:r>
    </w:p>
    <w:p>
      <w:r>
        <w:t xml:space="preserve">The period of 28 days in Sub-Clause 20.2.1 is deleted and replaced by </w:t>
      </w:r>
      <w:r>
        <w:rPr>
          <w:b/>
        </w:rPr>
        <w:t>14 days</w:t>
      </w:r>
      <w:r>
        <w:t>. The following is added:</w:t>
      </w:r>
    </w:p>
    <w:p>
      <w:pPr>
        <w:pStyle w:val="IntenseQuote"/>
      </w:pPr>
      <w:r>
        <w:t>"Compliance with the 14-day period is a condition precedent to any entitlement. If the Contractor fails to give a Notice of Claim within that period, the Claim shall be time-barred absolutely, the Contractor shall have no entitlement in respect of it, and neither the Engineer nor any arbitral tribunal shall have any power to waive, extend or excuse non-compliance in any circumstances. The second and third paragraphs of Sub-Clause 20.2.2 shall not apply."</w:t>
      </w:r>
    </w:p>
    <w:p>
      <w:pPr>
        <w:pStyle w:val="Heading2"/>
      </w:pPr>
      <w:r>
        <w:t>Clause 21 — Disputes and Arbitration</w:t>
      </w:r>
    </w:p>
    <w:p>
      <w:pPr>
        <w:pStyle w:val="Heading3"/>
      </w:pPr>
      <w:r>
        <w:t>SP-16 — Sub-Clauses 21.1 to 21.4 (DAAB)</w:t>
      </w:r>
    </w:p>
    <w:p>
      <w:r>
        <w:rPr>
          <w:b/>
        </w:rPr>
        <w:t>Sub-Clauses 21.1, 21.2, 21.3 and 21.4 are deleted in their entirety.</w:t>
      </w:r>
      <w:r>
        <w:t xml:space="preserve"> No Dispute Avoidance/Adjudication Board shall be appointed.</w:t>
      </w:r>
    </w:p>
    <w:p>
      <w:pPr>
        <w:pStyle w:val="Heading3"/>
      </w:pPr>
      <w:r>
        <w:t>SP-17 — Sub-Clause 21.6 (Arbitration)</w:t>
      </w:r>
    </w:p>
    <w:p>
      <w:r>
        <w:t>Sub-Clause 21.6 is deleted and replaced by the following:</w:t>
      </w:r>
    </w:p>
    <w:p>
      <w:pPr>
        <w:pStyle w:val="IntenseQuote"/>
      </w:pPr>
      <w:r>
        <w:t>"Any dispute arising out of or in connection with the Contract shall be finally settled by arbitration under the Rules of the London Court of International Arbitration. The seat of the arbitration shall be London, England. The language of the arbitration shall be English. The number of arbitrators shall be three."</w:t>
      </w:r>
    </w:p>
    <w:p>
      <w:r>
        <w:rPr>
          <w:color w:val="BBBBBB"/>
        </w:rPr>
        <w:t>____________________________________________________________</w:t>
      </w:r>
    </w:p>
    <w:p>
      <w:pPr>
        <w:pStyle w:val="Heading1"/>
      </w:pPr>
      <w:r>
        <w:t>PART B (continued) — ADMINISTRATIVE PROVISIONS</w:t>
      </w:r>
    </w:p>
    <w:p>
      <w:r>
        <w:t>The following provisions are administrative and reflect the Site and statutory context. They are not intended to alter the commercial balance of the Contract.</w:t>
      </w:r>
    </w:p>
    <w:p>
      <w:pPr>
        <w:pStyle w:val="Heading3"/>
      </w:pPr>
      <w:r>
        <w:t>SP-18 — Sub-Clause 6.5 (Working Hours)</w:t>
      </w:r>
    </w:p>
    <w:p>
      <w:r>
        <w:t>Working hours on Site shall be 06:00 to 22:00 Monday to Friday. Deliveries are restricted to those hours. Blasting is permitted only between 08:00 and 18:00 Monday to Friday. Generator testing is permitted only between 09:00 and 16:00 Monday to Friday. These restrictions reflect the Building Permit conditions.</w:t>
      </w:r>
    </w:p>
    <w:p>
      <w:pPr>
        <w:pStyle w:val="Heading3"/>
      </w:pPr>
      <w:r>
        <w:t>SP-19 — Sub-Clause 4.21 (Security of the Site)</w:t>
      </w:r>
    </w:p>
    <w:p>
      <w:r>
        <w:t>The Contractor shall implement and maintain the site security measures described in the Employer's Requirements from the Commencement Date, including access logging for all personnel and a background-check regime for personnel requiring access to any data hall after first energisation.</w:t>
      </w:r>
    </w:p>
    <w:p>
      <w:pPr>
        <w:pStyle w:val="Heading3"/>
      </w:pPr>
      <w:r>
        <w:t>SP-20 — Sub-Clause 5.2.2 (Review by Engineer)</w:t>
      </w:r>
    </w:p>
    <w:p>
      <w:r>
        <w:t>The review periods for Contractor's Documents shall be those stated in the Employer's Requirements (S1 14 days, S2 21 days, S3 14 days). Review by the Engineer shall not relieve the Contractor of its design responsibility.</w:t>
      </w:r>
    </w:p>
    <w:p>
      <w:pPr>
        <w:pStyle w:val="Heading3"/>
      </w:pPr>
      <w:r>
        <w:t>SP-21 — Sub-Clause 4.20 (Progress Reports)</w:t>
      </w:r>
    </w:p>
    <w:p>
      <w:r>
        <w:t>Progress reports shall be submitted monthly and shall include, in addition to the requirements of Sub-Clause 4.20, the commissioning status of each Section by commissioning level (L1 to L5) and the status of every long-lead equipment order.</w:t>
      </w:r>
    </w:p>
    <w:p>
      <w:pPr>
        <w:pStyle w:val="Heading3"/>
      </w:pPr>
      <w:r>
        <w:t>SP-22 — Sub-Clause 10.1 (Taking Over the Works and Sections)</w:t>
      </w:r>
    </w:p>
    <w:p>
      <w:r>
        <w:t>Taking Over of each Section requires, in addition to the requirements of the General Conditions, the occupancy inspection (käyttöönottotarkastus) for that Section and the Tenant's technical acceptance under the Anchor Tenant Technical Annex.</w:t>
      </w:r>
    </w:p>
    <w:p>
      <w:r>
        <w:rPr>
          <w:color w:val="BBBBBB"/>
        </w:rPr>
        <w:t>____________________________________________________________</w:t>
      </w:r>
    </w:p>
    <w:p>
      <w:r>
        <w:rPr>
          <w:b/>
        </w:rPr>
        <w:t>End of Particular Conditions — Revision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