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PARTICULAR CONDITIONS OF CONTRACT — REVISION B</w:t>
      </w:r>
    </w:p>
    <w:p>
      <w:r>
        <w:rPr>
          <w:b/>
        </w:rPr>
        <w:t>Document Ref:</w:t>
      </w:r>
      <w:r>
        <w:t xml:space="preserve"> PDC-PC-001 Rev B</w:t>
      </w:r>
    </w:p>
    <w:p>
      <w:r>
        <w:rPr>
          <w:b/>
        </w:rPr>
        <w:t>Project:</w:t>
      </w:r>
      <w:r>
        <w:t xml:space="preserve"> Polaris DC-1 — Aviapolis Data Campus, Phase 1, Vantaa, Finland</w:t>
      </w:r>
    </w:p>
    <w:p>
      <w:r>
        <w:rPr>
          <w:b/>
        </w:rPr>
        <w:t>Employer:</w:t>
      </w:r>
      <w:r>
        <w:t xml:space="preserve"> Polaris Digital Infrastructure Oy</w:t>
      </w:r>
    </w:p>
    <w:p>
      <w:r>
        <w:rPr>
          <w:b/>
        </w:rPr>
        <w:t>Contractor:</w:t>
      </w:r>
      <w:r>
        <w:t xml:space="preserve"> NordBuild Oy</w:t>
      </w:r>
    </w:p>
    <w:p>
      <w:r>
        <w:rPr>
          <w:b/>
        </w:rPr>
        <w:t>Date issued:</w:t>
      </w:r>
      <w:r>
        <w:t xml:space="preserve"> 6 February 2026</w:t>
      </w:r>
    </w:p>
    <w:p>
      <w:r>
        <w:rPr>
          <w:b/>
        </w:rPr>
        <w:t>Status:</w:t>
      </w:r>
      <w:r>
        <w:t xml:space="preserve"> Issued in response to the Contractor's letter NB-PDC-014 of 27 January 2026</w:t>
      </w:r>
    </w:p>
    <w:p>
      <w:r>
        <w:rPr>
          <w:b/>
        </w:rPr>
        <w:t>Supersedes:</w:t>
      </w:r>
      <w:r>
        <w:t xml:space="preserve"> Rev A of 12 January 2026</w:t>
      </w:r>
    </w:p>
    <w:p>
      <w:pPr>
        <w:pStyle w:val="IntenseQuote"/>
      </w:pPr>
      <w:r>
        <w:t>Synthetic demonstration data. All parties, values and terms are fictional.</w:t>
      </w:r>
    </w:p>
    <w:p>
      <w:r>
        <w:rPr>
          <w:color w:val="BBBBBB"/>
        </w:rPr>
        <w:t>____________________________________________________________</w:t>
      </w:r>
    </w:p>
    <w:p>
      <w:pPr>
        <w:pStyle w:val="Heading2"/>
      </w:pPr>
      <w:r>
        <w:t>READING INSTRUCTIONS</w:t>
      </w:r>
    </w:p>
    <w:p>
      <w:r>
        <w:t xml:space="preserve">These Particular Conditions amend the </w:t>
      </w:r>
      <w:r>
        <w:rPr>
          <w:b/>
        </w:rPr>
        <w:t>FIDIC Conditions of Contract for Plant and Design-Build, Second Edition 2017</w:t>
      </w:r>
      <w:r>
        <w:t xml:space="preserve"> (the "General Conditions") and must be read together with them. This document alone does not state the full obligations of either Party.</w:t>
      </w:r>
    </w:p>
    <w:p>
      <w:r>
        <w:rPr>
          <w:color w:val="BBBBBB"/>
        </w:rPr>
        <w:t>____________________________________________________________</w:t>
      </w:r>
    </w:p>
    <w:p>
      <w:pPr>
        <w:pStyle w:val="Heading2"/>
      </w:pPr>
      <w:r>
        <w:t>EMPLOYER'S RESPONSE TO THE CONTRACTOR'S COMMENTS</w:t>
      </w:r>
    </w:p>
    <w:p>
      <w:r>
        <w:t>The Employer has considered the Contractor's letter NB-PDC-014 and responds as follows. The Employer's position on the points not listed below is unchanged.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Contractor's comment</w:t>
            </w:r>
          </w:p>
        </w:tc>
        <w:tc>
          <w:tcPr>
            <w:tcW w:type="dxa" w:w="2880"/>
          </w:tcPr>
          <w:p>
            <w:r>
              <w:rPr>
                <w:rFonts w:ascii="Arial" w:hAnsi="Arial"/>
                <w:b/>
                <w:sz w:val="17"/>
              </w:rPr>
            </w:r>
            <w:r>
              <w:rPr>
                <w:rFonts w:ascii="Arial" w:hAnsi="Arial"/>
                <w:b/>
                <w:sz w:val="17"/>
              </w:rPr>
              <w:t>Employer's response</w:t>
            </w:r>
          </w:p>
        </w:tc>
        <w:tc>
          <w:tcPr>
            <w:tcW w:type="dxa" w:w="2880"/>
          </w:tcPr>
          <w:p>
            <w:r>
              <w:rPr>
                <w:rFonts w:ascii="Arial" w:hAnsi="Arial"/>
                <w:b/>
                <w:sz w:val="17"/>
              </w:rPr>
            </w:r>
            <w:r>
              <w:rPr>
                <w:rFonts w:ascii="Arial" w:hAnsi="Arial"/>
                <w:b/>
                <w:sz w:val="17"/>
              </w:rPr>
              <w:t>Outcome</w:t>
            </w:r>
          </w:p>
        </w:tc>
      </w:tr>
      <w:tr>
        <w:tc>
          <w:tcPr>
            <w:tcW w:type="dxa" w:w="2880"/>
          </w:tcPr>
          <w:p>
            <w:r>
              <w:rPr>
                <w:rFonts w:ascii="Arial" w:hAnsi="Arial"/>
                <w:sz w:val="17"/>
              </w:rPr>
            </w:r>
            <w:r>
              <w:rPr>
                <w:rFonts w:ascii="Arial" w:hAnsi="Arial"/>
                <w:sz w:val="17"/>
              </w:rPr>
              <w:t>Payment period of 75 days is unacceptable</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Reduced to </w:t>
            </w:r>
            <w:r>
              <w:rPr>
                <w:rFonts w:ascii="Arial" w:hAnsi="Arial"/>
                <w:b/>
                <w:sz w:val="17"/>
              </w:rPr>
              <w:t>45 days</w:t>
            </w:r>
          </w:p>
        </w:tc>
      </w:tr>
      <w:tr>
        <w:tc>
          <w:tcPr>
            <w:tcW w:type="dxa" w:w="2880"/>
          </w:tcPr>
          <w:p>
            <w:r>
              <w:rPr>
                <w:rFonts w:ascii="Arial" w:hAnsi="Arial"/>
                <w:sz w:val="17"/>
              </w:rPr>
            </w:r>
            <w:r>
              <w:rPr>
                <w:rFonts w:ascii="Arial" w:hAnsi="Arial"/>
                <w:sz w:val="17"/>
              </w:rPr>
              <w:t>Engineer's certification period of 42 days is excessive</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Reduced to </w:t>
            </w:r>
            <w:r>
              <w:rPr>
                <w:rFonts w:ascii="Arial" w:hAnsi="Arial"/>
                <w:b/>
                <w:sz w:val="17"/>
              </w:rPr>
              <w:t>28 days</w:t>
            </w:r>
          </w:p>
        </w:tc>
      </w:tr>
      <w:tr>
        <w:tc>
          <w:tcPr>
            <w:tcW w:type="dxa" w:w="2880"/>
          </w:tcPr>
          <w:p>
            <w:r>
              <w:rPr>
                <w:rFonts w:ascii="Arial" w:hAnsi="Arial"/>
                <w:sz w:val="17"/>
              </w:rPr>
            </w:r>
            <w:r>
              <w:rPr>
                <w:rFonts w:ascii="Arial" w:hAnsi="Arial"/>
                <w:sz w:val="17"/>
              </w:rPr>
              <w:t>Cap on Delay Damages of 20% is disproportionate</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Reduced to </w:t>
            </w:r>
            <w:r>
              <w:rPr>
                <w:rFonts w:ascii="Arial" w:hAnsi="Arial"/>
                <w:b/>
                <w:sz w:val="17"/>
              </w:rPr>
              <w:t>12%</w:t>
            </w:r>
          </w:p>
        </w:tc>
      </w:tr>
      <w:tr>
        <w:tc>
          <w:tcPr>
            <w:tcW w:type="dxa" w:w="2880"/>
          </w:tcPr>
          <w:p>
            <w:r>
              <w:rPr>
                <w:rFonts w:ascii="Arial" w:hAnsi="Arial"/>
                <w:sz w:val="17"/>
              </w:rPr>
            </w:r>
            <w:r>
              <w:rPr>
                <w:rFonts w:ascii="Arial" w:hAnsi="Arial"/>
                <w:sz w:val="17"/>
              </w:rPr>
              <w:t>No advance payment</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b/>
                <w:sz w:val="17"/>
              </w:rPr>
              <w:t>5%</w:t>
            </w:r>
            <w:r>
              <w:rPr>
                <w:rFonts w:ascii="Arial" w:hAnsi="Arial"/>
                <w:sz w:val="17"/>
              </w:rPr>
              <w:t xml:space="preserve"> advance payment reinstated</w:t>
            </w:r>
          </w:p>
        </w:tc>
      </w:tr>
      <w:tr>
        <w:tc>
          <w:tcPr>
            <w:tcW w:type="dxa" w:w="2880"/>
          </w:tcPr>
          <w:p>
            <w:r>
              <w:rPr>
                <w:rFonts w:ascii="Arial" w:hAnsi="Arial"/>
                <w:sz w:val="17"/>
              </w:rPr>
            </w:r>
            <w:r>
              <w:rPr>
                <w:rFonts w:ascii="Arial" w:hAnsi="Arial"/>
                <w:sz w:val="17"/>
              </w:rPr>
              <w:t>Retention of 10% with no release and no bond option</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Reduced to </w:t>
            </w:r>
            <w:r>
              <w:rPr>
                <w:rFonts w:ascii="Arial" w:hAnsi="Arial"/>
                <w:b/>
                <w:sz w:val="17"/>
              </w:rPr>
              <w:t>7.5%</w:t>
            </w:r>
            <w:r>
              <w:rPr>
                <w:rFonts w:ascii="Arial" w:hAnsi="Arial"/>
                <w:sz w:val="17"/>
              </w:rPr>
              <w:t>; bond option available after Section 1 Taking Over; release still deferred</w:t>
            </w:r>
          </w:p>
        </w:tc>
      </w:tr>
      <w:tr>
        <w:tc>
          <w:tcPr>
            <w:tcW w:type="dxa" w:w="2880"/>
          </w:tcPr>
          <w:p>
            <w:r>
              <w:rPr>
                <w:rFonts w:ascii="Arial" w:hAnsi="Arial"/>
                <w:sz w:val="17"/>
              </w:rPr>
            </w:r>
            <w:r>
              <w:rPr>
                <w:rFonts w:ascii="Arial" w:hAnsi="Arial"/>
                <w:sz w:val="17"/>
              </w:rPr>
              <w:t>Defects Notification Period of 36 months</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Reduced to </w:t>
            </w:r>
            <w:r>
              <w:rPr>
                <w:rFonts w:ascii="Arial" w:hAnsi="Arial"/>
                <w:b/>
                <w:sz w:val="17"/>
              </w:rPr>
              <w:t>24 months</w:t>
            </w:r>
          </w:p>
        </w:tc>
      </w:tr>
      <w:tr>
        <w:tc>
          <w:tcPr>
            <w:tcW w:type="dxa" w:w="2880"/>
          </w:tcPr>
          <w:p>
            <w:r>
              <w:rPr>
                <w:rFonts w:ascii="Arial" w:hAnsi="Arial"/>
                <w:sz w:val="17"/>
              </w:rPr>
            </w:r>
            <w:r>
              <w:rPr>
                <w:rFonts w:ascii="Arial" w:hAnsi="Arial"/>
                <w:sz w:val="17"/>
              </w:rPr>
              <w:t>Deletion of Sub-Clause 4.12 (ground risk)</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Reinstated </w:t>
            </w:r>
            <w:r>
              <w:rPr>
                <w:rFonts w:ascii="Arial" w:hAnsi="Arial"/>
                <w:b/>
                <w:sz w:val="17"/>
              </w:rPr>
              <w:t>in modified form</w:t>
            </w:r>
            <w:r>
              <w:rPr>
                <w:rFonts w:ascii="Arial" w:hAnsi="Arial"/>
                <w:sz w:val="17"/>
              </w:rPr>
              <w:t xml:space="preserve"> — time only, no cost, and only where conditions differ materially from the geotechnical report</w:t>
            </w:r>
          </w:p>
        </w:tc>
      </w:tr>
      <w:tr>
        <w:tc>
          <w:tcPr>
            <w:tcW w:type="dxa" w:w="2880"/>
          </w:tcPr>
          <w:p>
            <w:r>
              <w:rPr>
                <w:rFonts w:ascii="Arial" w:hAnsi="Arial"/>
                <w:sz w:val="17"/>
              </w:rPr>
            </w:r>
            <w:r>
              <w:rPr>
                <w:rFonts w:ascii="Arial" w:hAnsi="Arial"/>
                <w:sz w:val="17"/>
              </w:rPr>
              <w:t>Deletion of Sub-Clause 13.7 (cost adjustment)</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Reinstated </w:t>
            </w:r>
            <w:r>
              <w:rPr>
                <w:rFonts w:ascii="Arial" w:hAnsi="Arial"/>
                <w:b/>
                <w:sz w:val="17"/>
              </w:rPr>
              <w:t>in limited form</w:t>
            </w:r>
            <w:r>
              <w:rPr>
                <w:rFonts w:ascii="Arial" w:hAnsi="Arial"/>
                <w:sz w:val="17"/>
              </w:rPr>
              <w:t xml:space="preserve"> — restricted index basket with a 5% franchise</w:t>
            </w:r>
          </w:p>
        </w:tc>
      </w:tr>
      <w:tr>
        <w:tc>
          <w:tcPr>
            <w:tcW w:type="dxa" w:w="2880"/>
          </w:tcPr>
          <w:p>
            <w:r>
              <w:rPr>
                <w:rFonts w:ascii="Arial" w:hAnsi="Arial"/>
                <w:sz w:val="17"/>
              </w:rPr>
            </w:r>
            <w:r>
              <w:rPr>
                <w:rFonts w:ascii="Arial" w:hAnsi="Arial"/>
                <w:sz w:val="17"/>
              </w:rPr>
              <w:t>Deletion of Sub-Clause 1.9 (errors in Employer's Requirements)</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 — this is a design-build contract</w:t>
            </w:r>
          </w:p>
        </w:tc>
      </w:tr>
      <w:tr>
        <w:tc>
          <w:tcPr>
            <w:tcW w:type="dxa" w:w="2880"/>
          </w:tcPr>
          <w:p>
            <w:r>
              <w:rPr>
                <w:rFonts w:ascii="Arial" w:hAnsi="Arial"/>
                <w:sz w:val="17"/>
              </w:rPr>
            </w:r>
            <w:r>
              <w:rPr>
                <w:rFonts w:ascii="Arial" w:hAnsi="Arial"/>
                <w:sz w:val="17"/>
              </w:rPr>
              <w:t>Absolute performance warranty in SP-6</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w:t>
            </w:r>
          </w:p>
        </w:tc>
      </w:tr>
      <w:tr>
        <w:tc>
          <w:tcPr>
            <w:tcW w:type="dxa" w:w="2880"/>
          </w:tcPr>
          <w:p>
            <w:r>
              <w:rPr>
                <w:rFonts w:ascii="Arial" w:hAnsi="Arial"/>
                <w:sz w:val="17"/>
              </w:rPr>
            </w:r>
            <w:r>
              <w:rPr>
                <w:rFonts w:ascii="Arial" w:hAnsi="Arial"/>
                <w:sz w:val="17"/>
              </w:rPr>
              <w:t>Concurrent delay bar in SP-7</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w:t>
            </w:r>
          </w:p>
        </w:tc>
      </w:tr>
      <w:tr>
        <w:tc>
          <w:tcPr>
            <w:tcW w:type="dxa" w:w="2880"/>
          </w:tcPr>
          <w:p>
            <w:r>
              <w:rPr>
                <w:rFonts w:ascii="Arial" w:hAnsi="Arial"/>
                <w:sz w:val="17"/>
              </w:rPr>
            </w:r>
            <w:r>
              <w:rPr>
                <w:rFonts w:ascii="Arial" w:hAnsi="Arial"/>
                <w:sz w:val="17"/>
              </w:rPr>
              <w:t>Deletion of Sub-Clause 1.15 (limitation of liability)</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w:t>
            </w:r>
          </w:p>
        </w:tc>
      </w:tr>
      <w:tr>
        <w:tc>
          <w:tcPr>
            <w:tcW w:type="dxa" w:w="2880"/>
          </w:tcPr>
          <w:p>
            <w:r>
              <w:rPr>
                <w:rFonts w:ascii="Arial" w:hAnsi="Arial"/>
                <w:sz w:val="17"/>
              </w:rPr>
            </w:r>
            <w:r>
              <w:rPr>
                <w:rFonts w:ascii="Arial" w:hAnsi="Arial"/>
                <w:sz w:val="17"/>
              </w:rPr>
              <w:t>14-day notice period as an absolute time bar</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Extended to </w:t>
            </w:r>
            <w:r>
              <w:rPr>
                <w:rFonts w:ascii="Arial" w:hAnsi="Arial"/>
                <w:b/>
                <w:sz w:val="17"/>
              </w:rPr>
              <w:t>21 days</w:t>
            </w:r>
            <w:r>
              <w:rPr>
                <w:rFonts w:ascii="Arial" w:hAnsi="Arial"/>
                <w:sz w:val="17"/>
              </w:rPr>
              <w:t>; condition precedent and no-waiver provisions unchanged</w:t>
            </w:r>
          </w:p>
        </w:tc>
      </w:tr>
      <w:tr>
        <w:tc>
          <w:tcPr>
            <w:tcW w:type="dxa" w:w="2880"/>
          </w:tcPr>
          <w:p>
            <w:r>
              <w:rPr>
                <w:rFonts w:ascii="Arial" w:hAnsi="Arial"/>
                <w:sz w:val="17"/>
              </w:rPr>
            </w:r>
            <w:r>
              <w:rPr>
                <w:rFonts w:ascii="Arial" w:hAnsi="Arial"/>
                <w:sz w:val="17"/>
              </w:rPr>
              <w:t>Exclusion of all weather from Exceptional Events</w:t>
            </w:r>
          </w:p>
        </w:tc>
        <w:tc>
          <w:tcPr>
            <w:tcW w:type="dxa" w:w="2880"/>
          </w:tcPr>
          <w:p>
            <w:r>
              <w:rPr>
                <w:rFonts w:ascii="Arial" w:hAnsi="Arial"/>
                <w:sz w:val="17"/>
              </w:rPr>
            </w:r>
            <w:r>
              <w:rPr>
                <w:rFonts w:ascii="Arial" w:hAnsi="Arial"/>
                <w:sz w:val="17"/>
              </w:rPr>
              <w:t>Partially accepted</w:t>
            </w:r>
          </w:p>
        </w:tc>
        <w:tc>
          <w:tcPr>
            <w:tcW w:type="dxa" w:w="2880"/>
          </w:tcPr>
          <w:p>
            <w:r>
              <w:rPr>
                <w:rFonts w:ascii="Arial" w:hAnsi="Arial"/>
                <w:sz w:val="17"/>
              </w:rPr>
            </w:r>
            <w:r>
              <w:rPr>
                <w:rFonts w:ascii="Arial" w:hAnsi="Arial"/>
                <w:sz w:val="17"/>
              </w:rPr>
              <w:t xml:space="preserve">Exceptionally adverse weather reinstated, subject to a </w:t>
            </w:r>
            <w:r>
              <w:rPr>
                <w:rFonts w:ascii="Arial" w:hAnsi="Arial"/>
                <w:b/>
                <w:sz w:val="17"/>
              </w:rPr>
              <w:t>1-in-25-year threshold</w:t>
            </w:r>
          </w:p>
        </w:tc>
      </w:tr>
      <w:tr>
        <w:tc>
          <w:tcPr>
            <w:tcW w:type="dxa" w:w="2880"/>
          </w:tcPr>
          <w:p>
            <w:r>
              <w:rPr>
                <w:rFonts w:ascii="Arial" w:hAnsi="Arial"/>
                <w:sz w:val="17"/>
              </w:rPr>
            </w:r>
            <w:r>
              <w:rPr>
                <w:rFonts w:ascii="Arial" w:hAnsi="Arial"/>
                <w:sz w:val="17"/>
              </w:rPr>
              <w:t>Arbitration seated in London under LCIA Rules</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Changed to </w:t>
            </w:r>
            <w:r>
              <w:rPr>
                <w:rFonts w:ascii="Arial" w:hAnsi="Arial"/>
                <w:b/>
                <w:sz w:val="17"/>
              </w:rPr>
              <w:t>arbitration in Helsinki under the Arbitration Rules of the Finland Chamber of Commerce</w:t>
            </w:r>
          </w:p>
        </w:tc>
      </w:tr>
      <w:tr>
        <w:tc>
          <w:tcPr>
            <w:tcW w:type="dxa" w:w="2880"/>
          </w:tcPr>
          <w:p>
            <w:r>
              <w:rPr>
                <w:rFonts w:ascii="Arial" w:hAnsi="Arial"/>
                <w:sz w:val="17"/>
              </w:rPr>
            </w:r>
            <w:r>
              <w:rPr>
                <w:rFonts w:ascii="Arial" w:hAnsi="Arial"/>
                <w:sz w:val="17"/>
              </w:rPr>
              <w:t>Deletion of the DAAB provisions</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 — no DAAB will be appointed</w:t>
            </w:r>
          </w:p>
        </w:tc>
      </w:tr>
    </w:tbl>
    <w:p/>
    <w:p>
      <w:r>
        <w:rPr>
          <w:color w:val="BBBBBB"/>
        </w:rPr>
        <w:t>____________________________________________________________</w:t>
      </w:r>
    </w:p>
    <w:p>
      <w:pPr>
        <w:pStyle w:val="Heading1"/>
      </w:pPr>
      <w:r>
        <w:t>PART A — CONTRACT DATA</w:t>
      </w:r>
    </w:p>
    <w:p>
      <w:r>
        <w:t>Changed items are marked ✎. All other Contract Data is as Rev 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Sub-Clause</w:t>
            </w:r>
          </w:p>
        </w:tc>
        <w:tc>
          <w:tcPr>
            <w:tcW w:type="dxa" w:w="2880"/>
          </w:tcPr>
          <w:p>
            <w:r>
              <w:rPr>
                <w:rFonts w:ascii="Arial" w:hAnsi="Arial"/>
                <w:b/>
                <w:sz w:val="17"/>
              </w:rPr>
            </w:r>
            <w:r>
              <w:rPr>
                <w:rFonts w:ascii="Arial" w:hAnsi="Arial"/>
                <w:b/>
                <w:sz w:val="17"/>
              </w:rPr>
              <w:t>Item</w:t>
            </w:r>
          </w:p>
        </w:tc>
        <w:tc>
          <w:tcPr>
            <w:tcW w:type="dxa" w:w="2880"/>
          </w:tcPr>
          <w:p>
            <w:r>
              <w:rPr>
                <w:rFonts w:ascii="Arial" w:hAnsi="Arial"/>
                <w:b/>
                <w:sz w:val="17"/>
              </w:rPr>
            </w:r>
            <w:r>
              <w:rPr>
                <w:rFonts w:ascii="Arial" w:hAnsi="Arial"/>
                <w:b/>
                <w:sz w:val="17"/>
              </w:rPr>
              <w:t>Data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Employer</w:t>
            </w:r>
          </w:p>
        </w:tc>
        <w:tc>
          <w:tcPr>
            <w:tcW w:type="dxa" w:w="2880"/>
          </w:tcPr>
          <w:p>
            <w:r>
              <w:rPr>
                <w:rFonts w:ascii="Arial" w:hAnsi="Arial"/>
                <w:sz w:val="17"/>
              </w:rPr>
            </w:r>
            <w:r>
              <w:rPr>
                <w:rFonts w:ascii="Arial" w:hAnsi="Arial"/>
                <w:sz w:val="17"/>
              </w:rPr>
              <w:t>Polaris Digital Infrastructure Oy, Business ID 3241887-4, Aviapolis, Vantaa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Contractor</w:t>
            </w:r>
          </w:p>
        </w:tc>
        <w:tc>
          <w:tcPr>
            <w:tcW w:type="dxa" w:w="2880"/>
          </w:tcPr>
          <w:p>
            <w:r>
              <w:rPr>
                <w:rFonts w:ascii="Arial" w:hAnsi="Arial"/>
                <w:sz w:val="17"/>
              </w:rPr>
            </w:r>
            <w:r>
              <w:rPr>
                <w:rFonts w:ascii="Arial" w:hAnsi="Arial"/>
                <w:sz w:val="17"/>
              </w:rPr>
              <w:t>NordBuild Oy, Business ID 1998442-1,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Engineer</w:t>
            </w:r>
          </w:p>
        </w:tc>
        <w:tc>
          <w:tcPr>
            <w:tcW w:type="dxa" w:w="2880"/>
          </w:tcPr>
          <w:p>
            <w:r>
              <w:rPr>
                <w:rFonts w:ascii="Arial" w:hAnsi="Arial"/>
                <w:sz w:val="17"/>
              </w:rPr>
            </w:r>
            <w:r>
              <w:rPr>
                <w:rFonts w:ascii="Arial" w:hAnsi="Arial"/>
                <w:sz w:val="17"/>
              </w:rPr>
              <w:t>Norvia Consulting Oy,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Accepted Contract Amount</w:t>
            </w:r>
          </w:p>
        </w:tc>
        <w:tc>
          <w:tcPr>
            <w:tcW w:type="dxa" w:w="2880"/>
          </w:tcPr>
          <w:p>
            <w:r>
              <w:rPr>
                <w:rFonts w:ascii="Arial" w:hAnsi="Arial"/>
                <w:sz w:val="17"/>
              </w:rPr>
            </w:r>
            <w:r>
              <w:rPr>
                <w:rFonts w:ascii="Arial" w:hAnsi="Arial"/>
                <w:sz w:val="17"/>
              </w:rPr>
              <w:t>EUR 92,400,000</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Base Date</w:t>
            </w:r>
          </w:p>
        </w:tc>
        <w:tc>
          <w:tcPr>
            <w:tcW w:type="dxa" w:w="2880"/>
          </w:tcPr>
          <w:p>
            <w:r>
              <w:rPr>
                <w:rFonts w:ascii="Arial" w:hAnsi="Arial"/>
                <w:sz w:val="17"/>
              </w:rPr>
            </w:r>
            <w:r>
              <w:rPr>
                <w:rFonts w:ascii="Arial" w:hAnsi="Arial"/>
                <w:sz w:val="17"/>
              </w:rPr>
              <w:t>12 December 2025</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Commencement Date</w:t>
            </w:r>
          </w:p>
        </w:tc>
        <w:tc>
          <w:tcPr>
            <w:tcW w:type="dxa" w:w="2880"/>
          </w:tcPr>
          <w:p>
            <w:r>
              <w:rPr>
                <w:rFonts w:ascii="Arial" w:hAnsi="Arial"/>
                <w:sz w:val="17"/>
              </w:rPr>
            </w:r>
            <w:r>
              <w:rPr>
                <w:rFonts w:ascii="Arial" w:hAnsi="Arial"/>
                <w:sz w:val="17"/>
              </w:rPr>
              <w:t>2 March 2026</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Governing Law</w:t>
            </w:r>
          </w:p>
        </w:tc>
        <w:tc>
          <w:tcPr>
            <w:tcW w:type="dxa" w:w="2880"/>
          </w:tcPr>
          <w:p>
            <w:r>
              <w:rPr>
                <w:rFonts w:ascii="Arial" w:hAnsi="Arial"/>
                <w:sz w:val="17"/>
              </w:rPr>
            </w:r>
            <w:r>
              <w:rPr>
                <w:rFonts w:ascii="Arial" w:hAnsi="Arial"/>
                <w:sz w:val="17"/>
              </w:rPr>
              <w:t>The law of Finland</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Ruling language</w:t>
            </w:r>
          </w:p>
        </w:tc>
        <w:tc>
          <w:tcPr>
            <w:tcW w:type="dxa" w:w="2880"/>
          </w:tcPr>
          <w:p>
            <w:r>
              <w:rPr>
                <w:rFonts w:ascii="Arial" w:hAnsi="Arial"/>
                <w:sz w:val="17"/>
              </w:rPr>
            </w:r>
            <w:r>
              <w:rPr>
                <w:rFonts w:ascii="Arial" w:hAnsi="Arial"/>
                <w:sz w:val="17"/>
              </w:rPr>
              <w:t>English</w:t>
            </w:r>
          </w:p>
        </w:tc>
      </w:tr>
      <w:tr>
        <w:tc>
          <w:tcPr>
            <w:tcW w:type="dxa" w:w="2880"/>
          </w:tcPr>
          <w:p>
            <w:r>
              <w:rPr>
                <w:rFonts w:ascii="Arial" w:hAnsi="Arial"/>
                <w:sz w:val="17"/>
              </w:rPr>
            </w:r>
            <w:r>
              <w:rPr>
                <w:rFonts w:ascii="Arial" w:hAnsi="Arial"/>
                <w:sz w:val="17"/>
              </w:rPr>
              <w:t>4.2</w:t>
            </w:r>
          </w:p>
        </w:tc>
        <w:tc>
          <w:tcPr>
            <w:tcW w:type="dxa" w:w="2880"/>
          </w:tcPr>
          <w:p>
            <w:r>
              <w:rPr>
                <w:rFonts w:ascii="Arial" w:hAnsi="Arial"/>
                <w:sz w:val="17"/>
              </w:rPr>
            </w:r>
            <w:r>
              <w:rPr>
                <w:rFonts w:ascii="Arial" w:hAnsi="Arial"/>
                <w:sz w:val="17"/>
              </w:rPr>
              <w:t>Performance Security</w:t>
            </w:r>
          </w:p>
        </w:tc>
        <w:tc>
          <w:tcPr>
            <w:tcW w:type="dxa" w:w="2880"/>
          </w:tcPr>
          <w:p>
            <w:r>
              <w:rPr>
                <w:rFonts w:ascii="Arial" w:hAnsi="Arial"/>
                <w:sz w:val="17"/>
              </w:rPr>
            </w:r>
            <w:r>
              <w:rPr>
                <w:rFonts w:ascii="Arial" w:hAnsi="Arial"/>
                <w:sz w:val="17"/>
              </w:rPr>
              <w:t>10% of the Accepted Contract Amount, on-demand bank guarantee</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Time for Completion — whole of the Works</w:t>
            </w:r>
          </w:p>
        </w:tc>
        <w:tc>
          <w:tcPr>
            <w:tcW w:type="dxa" w:w="2880"/>
          </w:tcPr>
          <w:p>
            <w:r>
              <w:rPr>
                <w:rFonts w:ascii="Arial" w:hAnsi="Arial"/>
                <w:sz w:val="17"/>
              </w:rPr>
            </w:r>
            <w:r>
              <w:rPr>
                <w:rFonts w:ascii="Arial" w:hAnsi="Arial"/>
                <w:sz w:val="17"/>
              </w:rPr>
              <w:t>22 months from the Commencement Date</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Sections</w:t>
            </w:r>
          </w:p>
        </w:tc>
        <w:tc>
          <w:tcPr>
            <w:tcW w:type="dxa" w:w="2880"/>
          </w:tcPr>
          <w:p>
            <w:r>
              <w:rPr>
                <w:rFonts w:ascii="Arial" w:hAnsi="Arial"/>
                <w:sz w:val="17"/>
              </w:rPr>
            </w:r>
            <w:r>
              <w:rPr>
                <w:rFonts w:ascii="Arial" w:hAnsi="Arial"/>
                <w:sz w:val="17"/>
              </w:rPr>
              <w:t>Four Sections, unchanged from Rev A</w:t>
            </w:r>
          </w:p>
        </w:tc>
      </w:tr>
      <w:tr>
        <w:tc>
          <w:tcPr>
            <w:tcW w:type="dxa" w:w="2880"/>
          </w:tcPr>
          <w:p>
            <w:r>
              <w:rPr>
                <w:rFonts w:ascii="Arial" w:hAnsi="Arial"/>
                <w:sz w:val="17"/>
              </w:rPr>
            </w:r>
            <w:r>
              <w:rPr>
                <w:rFonts w:ascii="Arial" w:hAnsi="Arial"/>
                <w:sz w:val="17"/>
              </w:rPr>
              <w:t>8.8</w:t>
            </w:r>
          </w:p>
        </w:tc>
        <w:tc>
          <w:tcPr>
            <w:tcW w:type="dxa" w:w="2880"/>
          </w:tcPr>
          <w:p>
            <w:r>
              <w:rPr>
                <w:rFonts w:ascii="Arial" w:hAnsi="Arial"/>
                <w:sz w:val="17"/>
              </w:rPr>
            </w:r>
            <w:r>
              <w:rPr>
                <w:rFonts w:ascii="Arial" w:hAnsi="Arial"/>
                <w:sz w:val="17"/>
              </w:rPr>
              <w:t>Delay Damages</w:t>
            </w:r>
          </w:p>
        </w:tc>
        <w:tc>
          <w:tcPr>
            <w:tcW w:type="dxa" w:w="2880"/>
          </w:tcPr>
          <w:p>
            <w:r>
              <w:rPr>
                <w:rFonts w:ascii="Arial" w:hAnsi="Arial"/>
                <w:sz w:val="17"/>
              </w:rPr>
            </w:r>
            <w:r>
              <w:rPr>
                <w:rFonts w:ascii="Arial" w:hAnsi="Arial"/>
                <w:sz w:val="17"/>
              </w:rPr>
              <w:t>Per Section, unchanged from Rev A</w:t>
            </w:r>
          </w:p>
        </w:tc>
      </w:tr>
      <w:tr>
        <w:tc>
          <w:tcPr>
            <w:tcW w:type="dxa" w:w="2880"/>
          </w:tcPr>
          <w:p>
            <w:r>
              <w:rPr>
                <w:rFonts w:ascii="Arial" w:hAnsi="Arial"/>
                <w:sz w:val="17"/>
              </w:rPr>
            </w:r>
            <w:r>
              <w:rPr>
                <w:rFonts w:ascii="Arial" w:hAnsi="Arial"/>
                <w:sz w:val="17"/>
              </w:rPr>
              <w:t>8.8 ✎</w:t>
            </w:r>
          </w:p>
        </w:tc>
        <w:tc>
          <w:tcPr>
            <w:tcW w:type="dxa" w:w="2880"/>
          </w:tcPr>
          <w:p>
            <w:r>
              <w:rPr>
                <w:rFonts w:ascii="Arial" w:hAnsi="Arial"/>
                <w:sz w:val="17"/>
              </w:rPr>
            </w:r>
            <w:r>
              <w:rPr>
                <w:rFonts w:ascii="Arial" w:hAnsi="Arial"/>
                <w:sz w:val="17"/>
              </w:rPr>
              <w:t>Maximum Delay Damages</w:t>
            </w:r>
          </w:p>
        </w:tc>
        <w:tc>
          <w:tcPr>
            <w:tcW w:type="dxa" w:w="2880"/>
          </w:tcPr>
          <w:p>
            <w:r>
              <w:rPr>
                <w:rFonts w:ascii="Arial" w:hAnsi="Arial"/>
                <w:sz w:val="17"/>
              </w:rPr>
            </w:r>
            <w:r>
              <w:rPr>
                <w:rFonts w:ascii="Arial" w:hAnsi="Arial"/>
                <w:b/>
                <w:sz w:val="17"/>
              </w:rPr>
              <w:t>12% of the Accepted Contract Amount</w:t>
            </w:r>
          </w:p>
        </w:tc>
      </w:tr>
      <w:tr>
        <w:tc>
          <w:tcPr>
            <w:tcW w:type="dxa" w:w="2880"/>
          </w:tcPr>
          <w:p>
            <w:r>
              <w:rPr>
                <w:rFonts w:ascii="Arial" w:hAnsi="Arial"/>
                <w:sz w:val="17"/>
              </w:rPr>
            </w:r>
            <w:r>
              <w:rPr>
                <w:rFonts w:ascii="Arial" w:hAnsi="Arial"/>
                <w:sz w:val="17"/>
              </w:rPr>
              <w:t>11.1 ✎</w:t>
            </w:r>
          </w:p>
        </w:tc>
        <w:tc>
          <w:tcPr>
            <w:tcW w:type="dxa" w:w="2880"/>
          </w:tcPr>
          <w:p>
            <w:r>
              <w:rPr>
                <w:rFonts w:ascii="Arial" w:hAnsi="Arial"/>
                <w:sz w:val="17"/>
              </w:rPr>
            </w:r>
            <w:r>
              <w:rPr>
                <w:rFonts w:ascii="Arial" w:hAnsi="Arial"/>
                <w:sz w:val="17"/>
              </w:rPr>
              <w:t>Defects Notification Period</w:t>
            </w:r>
          </w:p>
        </w:tc>
        <w:tc>
          <w:tcPr>
            <w:tcW w:type="dxa" w:w="2880"/>
          </w:tcPr>
          <w:p>
            <w:r>
              <w:rPr>
                <w:rFonts w:ascii="Arial" w:hAnsi="Arial"/>
                <w:sz w:val="17"/>
              </w:rPr>
            </w:r>
            <w:r>
              <w:rPr>
                <w:rFonts w:ascii="Arial" w:hAnsi="Arial"/>
                <w:b/>
                <w:sz w:val="17"/>
              </w:rPr>
              <w:t>24 months</w:t>
            </w:r>
            <w:r>
              <w:rPr>
                <w:rFonts w:ascii="Arial" w:hAnsi="Arial"/>
                <w:sz w:val="17"/>
              </w:rPr>
              <w:t xml:space="preserve"> from the date in the Taking-Over Certificate for the relevant Section</w:t>
            </w:r>
          </w:p>
        </w:tc>
      </w:tr>
      <w:tr>
        <w:tc>
          <w:tcPr>
            <w:tcW w:type="dxa" w:w="2880"/>
          </w:tcPr>
          <w:p>
            <w:r>
              <w:rPr>
                <w:rFonts w:ascii="Arial" w:hAnsi="Arial"/>
                <w:sz w:val="17"/>
              </w:rPr>
            </w:r>
            <w:r>
              <w:rPr>
                <w:rFonts w:ascii="Arial" w:hAnsi="Arial"/>
                <w:sz w:val="17"/>
              </w:rPr>
              <w:t>13.7 ✎</w:t>
            </w:r>
          </w:p>
        </w:tc>
        <w:tc>
          <w:tcPr>
            <w:tcW w:type="dxa" w:w="2880"/>
          </w:tcPr>
          <w:p>
            <w:r>
              <w:rPr>
                <w:rFonts w:ascii="Arial" w:hAnsi="Arial"/>
                <w:sz w:val="17"/>
              </w:rPr>
            </w:r>
            <w:r>
              <w:rPr>
                <w:rFonts w:ascii="Arial" w:hAnsi="Arial"/>
                <w:sz w:val="17"/>
              </w:rPr>
              <w:t>Adjustments for Changes in Cost</w:t>
            </w:r>
          </w:p>
        </w:tc>
        <w:tc>
          <w:tcPr>
            <w:tcW w:type="dxa" w:w="2880"/>
          </w:tcPr>
          <w:p>
            <w:r>
              <w:rPr>
                <w:rFonts w:ascii="Arial" w:hAnsi="Arial"/>
                <w:sz w:val="17"/>
              </w:rPr>
            </w:r>
            <w:r>
              <w:rPr>
                <w:rFonts w:ascii="Arial" w:hAnsi="Arial"/>
                <w:sz w:val="17"/>
              </w:rPr>
              <w:t>Applicable in the limited form set out in SP-10</w:t>
            </w:r>
          </w:p>
        </w:tc>
      </w:tr>
      <w:tr>
        <w:tc>
          <w:tcPr>
            <w:tcW w:type="dxa" w:w="2880"/>
          </w:tcPr>
          <w:p>
            <w:r>
              <w:rPr>
                <w:rFonts w:ascii="Arial" w:hAnsi="Arial"/>
                <w:sz w:val="17"/>
              </w:rPr>
            </w:r>
            <w:r>
              <w:rPr>
                <w:rFonts w:ascii="Arial" w:hAnsi="Arial"/>
                <w:sz w:val="17"/>
              </w:rPr>
              <w:t>14.2 ✎</w:t>
            </w:r>
          </w:p>
        </w:tc>
        <w:tc>
          <w:tcPr>
            <w:tcW w:type="dxa" w:w="2880"/>
          </w:tcPr>
          <w:p>
            <w:r>
              <w:rPr>
                <w:rFonts w:ascii="Arial" w:hAnsi="Arial"/>
                <w:sz w:val="17"/>
              </w:rPr>
            </w:r>
            <w:r>
              <w:rPr>
                <w:rFonts w:ascii="Arial" w:hAnsi="Arial"/>
                <w:sz w:val="17"/>
              </w:rPr>
              <w:t>Advance Payment</w:t>
            </w:r>
          </w:p>
        </w:tc>
        <w:tc>
          <w:tcPr>
            <w:tcW w:type="dxa" w:w="2880"/>
          </w:tcPr>
          <w:p>
            <w:r>
              <w:rPr>
                <w:rFonts w:ascii="Arial" w:hAnsi="Arial"/>
                <w:sz w:val="17"/>
              </w:rPr>
            </w:r>
            <w:r>
              <w:rPr>
                <w:rFonts w:ascii="Arial" w:hAnsi="Arial"/>
                <w:b/>
                <w:sz w:val="17"/>
              </w:rPr>
              <w:t>5% of the Accepted Contract Amount</w:t>
            </w:r>
            <w:r>
              <w:rPr>
                <w:rFonts w:ascii="Arial" w:hAnsi="Arial"/>
                <w:sz w:val="17"/>
              </w:rPr>
              <w:t>, against an advance payment guarantee, repaid by deduction of 8% from each Interim Payment Certificate</w:t>
            </w:r>
          </w:p>
        </w:tc>
      </w:tr>
      <w:tr>
        <w:tc>
          <w:tcPr>
            <w:tcW w:type="dxa" w:w="2880"/>
          </w:tcPr>
          <w:p>
            <w:r>
              <w:rPr>
                <w:rFonts w:ascii="Arial" w:hAnsi="Arial"/>
                <w:sz w:val="17"/>
              </w:rPr>
            </w:r>
            <w:r>
              <w:rPr>
                <w:rFonts w:ascii="Arial" w:hAnsi="Arial"/>
                <w:sz w:val="17"/>
              </w:rPr>
              <w:t>14.3 ✎</w:t>
            </w:r>
          </w:p>
        </w:tc>
        <w:tc>
          <w:tcPr>
            <w:tcW w:type="dxa" w:w="2880"/>
          </w:tcPr>
          <w:p>
            <w:r>
              <w:rPr>
                <w:rFonts w:ascii="Arial" w:hAnsi="Arial"/>
                <w:sz w:val="17"/>
              </w:rPr>
            </w:r>
            <w:r>
              <w:rPr>
                <w:rFonts w:ascii="Arial" w:hAnsi="Arial"/>
                <w:sz w:val="17"/>
              </w:rPr>
              <w:t>Retention</w:t>
            </w:r>
          </w:p>
        </w:tc>
        <w:tc>
          <w:tcPr>
            <w:tcW w:type="dxa" w:w="2880"/>
          </w:tcPr>
          <w:p>
            <w:r>
              <w:rPr>
                <w:rFonts w:ascii="Arial" w:hAnsi="Arial"/>
                <w:sz w:val="17"/>
              </w:rPr>
            </w:r>
            <w:r>
              <w:rPr>
                <w:rFonts w:ascii="Arial" w:hAnsi="Arial"/>
                <w:b/>
                <w:sz w:val="17"/>
              </w:rPr>
              <w:t>7.5% of each Interim Payment Certificate</w:t>
            </w:r>
          </w:p>
        </w:tc>
      </w:tr>
      <w:tr>
        <w:tc>
          <w:tcPr>
            <w:tcW w:type="dxa" w:w="2880"/>
          </w:tcPr>
          <w:p>
            <w:r>
              <w:rPr>
                <w:rFonts w:ascii="Arial" w:hAnsi="Arial"/>
                <w:sz w:val="17"/>
              </w:rPr>
            </w:r>
            <w:r>
              <w:rPr>
                <w:rFonts w:ascii="Arial" w:hAnsi="Arial"/>
                <w:sz w:val="17"/>
              </w:rPr>
              <w:t>14.3</w:t>
            </w:r>
          </w:p>
        </w:tc>
        <w:tc>
          <w:tcPr>
            <w:tcW w:type="dxa" w:w="2880"/>
          </w:tcPr>
          <w:p>
            <w:r>
              <w:rPr>
                <w:rFonts w:ascii="Arial" w:hAnsi="Arial"/>
                <w:sz w:val="17"/>
              </w:rPr>
            </w:r>
            <w:r>
              <w:rPr>
                <w:rFonts w:ascii="Arial" w:hAnsi="Arial"/>
                <w:sz w:val="17"/>
              </w:rPr>
              <w:t>Limit of Retention Money</w:t>
            </w:r>
          </w:p>
        </w:tc>
        <w:tc>
          <w:tcPr>
            <w:tcW w:type="dxa" w:w="2880"/>
          </w:tcPr>
          <w:p>
            <w:r>
              <w:rPr>
                <w:rFonts w:ascii="Arial" w:hAnsi="Arial"/>
                <w:sz w:val="17"/>
              </w:rPr>
            </w:r>
            <w:r>
              <w:rPr>
                <w:rFonts w:ascii="Arial" w:hAnsi="Arial"/>
                <w:sz w:val="17"/>
              </w:rPr>
              <w:t>No limit</w:t>
            </w:r>
          </w:p>
        </w:tc>
      </w:tr>
      <w:tr>
        <w:tc>
          <w:tcPr>
            <w:tcW w:type="dxa" w:w="2880"/>
          </w:tcPr>
          <w:p>
            <w:r>
              <w:rPr>
                <w:rFonts w:ascii="Arial" w:hAnsi="Arial"/>
                <w:sz w:val="17"/>
              </w:rPr>
            </w:r>
            <w:r>
              <w:rPr>
                <w:rFonts w:ascii="Arial" w:hAnsi="Arial"/>
                <w:sz w:val="17"/>
              </w:rPr>
              <w:t>14.6 ✎</w:t>
            </w:r>
          </w:p>
        </w:tc>
        <w:tc>
          <w:tcPr>
            <w:tcW w:type="dxa" w:w="2880"/>
          </w:tcPr>
          <w:p>
            <w:r>
              <w:rPr>
                <w:rFonts w:ascii="Arial" w:hAnsi="Arial"/>
                <w:sz w:val="17"/>
              </w:rPr>
            </w:r>
            <w:r>
              <w:rPr>
                <w:rFonts w:ascii="Arial" w:hAnsi="Arial"/>
                <w:sz w:val="17"/>
              </w:rPr>
              <w:t>Period for the Engineer to issue an Interim Payment Certificate</w:t>
            </w:r>
          </w:p>
        </w:tc>
        <w:tc>
          <w:tcPr>
            <w:tcW w:type="dxa" w:w="2880"/>
          </w:tcPr>
          <w:p>
            <w:r>
              <w:rPr>
                <w:rFonts w:ascii="Arial" w:hAnsi="Arial"/>
                <w:sz w:val="17"/>
              </w:rPr>
            </w:r>
            <w:r>
              <w:rPr>
                <w:rFonts w:ascii="Arial" w:hAnsi="Arial"/>
                <w:b/>
                <w:sz w:val="17"/>
              </w:rPr>
              <w:t>28 days</w:t>
            </w:r>
          </w:p>
        </w:tc>
      </w:tr>
      <w:tr>
        <w:tc>
          <w:tcPr>
            <w:tcW w:type="dxa" w:w="2880"/>
          </w:tcPr>
          <w:p>
            <w:r>
              <w:rPr>
                <w:rFonts w:ascii="Arial" w:hAnsi="Arial"/>
                <w:sz w:val="17"/>
              </w:rPr>
            </w:r>
            <w:r>
              <w:rPr>
                <w:rFonts w:ascii="Arial" w:hAnsi="Arial"/>
                <w:sz w:val="17"/>
              </w:rPr>
              <w:t>14.7 ✎</w:t>
            </w:r>
          </w:p>
        </w:tc>
        <w:tc>
          <w:tcPr>
            <w:tcW w:type="dxa" w:w="2880"/>
          </w:tcPr>
          <w:p>
            <w:r>
              <w:rPr>
                <w:rFonts w:ascii="Arial" w:hAnsi="Arial"/>
                <w:sz w:val="17"/>
              </w:rPr>
            </w:r>
            <w:r>
              <w:rPr>
                <w:rFonts w:ascii="Arial" w:hAnsi="Arial"/>
                <w:sz w:val="17"/>
              </w:rPr>
              <w:t>Period for payment by the Employer</w:t>
            </w:r>
          </w:p>
        </w:tc>
        <w:tc>
          <w:tcPr>
            <w:tcW w:type="dxa" w:w="2880"/>
          </w:tcPr>
          <w:p>
            <w:r>
              <w:rPr>
                <w:rFonts w:ascii="Arial" w:hAnsi="Arial"/>
                <w:sz w:val="17"/>
              </w:rPr>
            </w:r>
            <w:r>
              <w:rPr>
                <w:rFonts w:ascii="Arial" w:hAnsi="Arial"/>
                <w:b/>
                <w:sz w:val="17"/>
              </w:rPr>
              <w:t>45 days</w:t>
            </w:r>
            <w:r>
              <w:rPr>
                <w:rFonts w:ascii="Arial" w:hAnsi="Arial"/>
                <w:sz w:val="17"/>
              </w:rPr>
              <w:t xml:space="preserve"> after issue of the Interim Payment Certificate</w:t>
            </w:r>
          </w:p>
        </w:tc>
      </w:tr>
      <w:tr>
        <w:tc>
          <w:tcPr>
            <w:tcW w:type="dxa" w:w="2880"/>
          </w:tcPr>
          <w:p>
            <w:r>
              <w:rPr>
                <w:rFonts w:ascii="Arial" w:hAnsi="Arial"/>
                <w:sz w:val="17"/>
              </w:rPr>
            </w:r>
            <w:r>
              <w:rPr>
                <w:rFonts w:ascii="Arial" w:hAnsi="Arial"/>
                <w:sz w:val="17"/>
              </w:rPr>
              <w:t>14.8</w:t>
            </w:r>
          </w:p>
        </w:tc>
        <w:tc>
          <w:tcPr>
            <w:tcW w:type="dxa" w:w="2880"/>
          </w:tcPr>
          <w:p>
            <w:r>
              <w:rPr>
                <w:rFonts w:ascii="Arial" w:hAnsi="Arial"/>
                <w:sz w:val="17"/>
              </w:rPr>
            </w:r>
            <w:r>
              <w:rPr>
                <w:rFonts w:ascii="Arial" w:hAnsi="Arial"/>
                <w:sz w:val="17"/>
              </w:rPr>
              <w:t>Financing charges on delayed payment</w:t>
            </w:r>
          </w:p>
        </w:tc>
        <w:tc>
          <w:tcPr>
            <w:tcW w:type="dxa" w:w="2880"/>
          </w:tcPr>
          <w:p>
            <w:r>
              <w:rPr>
                <w:rFonts w:ascii="Arial" w:hAnsi="Arial"/>
                <w:sz w:val="17"/>
              </w:rPr>
            </w:r>
            <w:r>
              <w:rPr>
                <w:rFonts w:ascii="Arial" w:hAnsi="Arial"/>
                <w:sz w:val="17"/>
              </w:rPr>
              <w:t>2% per annum above the ECB main refinancing rate</w:t>
            </w:r>
          </w:p>
        </w:tc>
      </w:tr>
      <w:tr>
        <w:tc>
          <w:tcPr>
            <w:tcW w:type="dxa" w:w="2880"/>
          </w:tcPr>
          <w:p>
            <w:r>
              <w:rPr>
                <w:rFonts w:ascii="Arial" w:hAnsi="Arial"/>
                <w:sz w:val="17"/>
              </w:rPr>
            </w:r>
            <w:r>
              <w:rPr>
                <w:rFonts w:ascii="Arial" w:hAnsi="Arial"/>
                <w:sz w:val="17"/>
              </w:rPr>
              <w:t>19.2.3</w:t>
            </w:r>
          </w:p>
        </w:tc>
        <w:tc>
          <w:tcPr>
            <w:tcW w:type="dxa" w:w="2880"/>
          </w:tcPr>
          <w:p>
            <w:r>
              <w:rPr>
                <w:rFonts w:ascii="Arial" w:hAnsi="Arial"/>
                <w:sz w:val="17"/>
              </w:rPr>
            </w:r>
            <w:r>
              <w:rPr>
                <w:rFonts w:ascii="Arial" w:hAnsi="Arial"/>
                <w:sz w:val="17"/>
              </w:rPr>
              <w:t>Professional indemnity insurance</w:t>
            </w:r>
          </w:p>
        </w:tc>
        <w:tc>
          <w:tcPr>
            <w:tcW w:type="dxa" w:w="2880"/>
          </w:tcPr>
          <w:p>
            <w:r>
              <w:rPr>
                <w:rFonts w:ascii="Arial" w:hAnsi="Arial"/>
                <w:sz w:val="17"/>
              </w:rPr>
            </w:r>
            <w:r>
              <w:rPr>
                <w:rFonts w:ascii="Arial" w:hAnsi="Arial"/>
                <w:sz w:val="17"/>
              </w:rPr>
              <w:t>EUR 10,000,000 each and every claim, 6 years after the last Taking-Over Certificate</w:t>
            </w:r>
          </w:p>
        </w:tc>
      </w:tr>
      <w:tr>
        <w:tc>
          <w:tcPr>
            <w:tcW w:type="dxa" w:w="2880"/>
          </w:tcPr>
          <w:p>
            <w:r>
              <w:rPr>
                <w:rFonts w:ascii="Arial" w:hAnsi="Arial"/>
                <w:sz w:val="17"/>
              </w:rPr>
            </w:r>
            <w:r>
              <w:rPr>
                <w:rFonts w:ascii="Arial" w:hAnsi="Arial"/>
                <w:sz w:val="17"/>
              </w:rPr>
              <w:t>19.2.4</w:t>
            </w:r>
          </w:p>
        </w:tc>
        <w:tc>
          <w:tcPr>
            <w:tcW w:type="dxa" w:w="2880"/>
          </w:tcPr>
          <w:p>
            <w:r>
              <w:rPr>
                <w:rFonts w:ascii="Arial" w:hAnsi="Arial"/>
                <w:sz w:val="17"/>
              </w:rPr>
            </w:r>
            <w:r>
              <w:rPr>
                <w:rFonts w:ascii="Arial" w:hAnsi="Arial"/>
                <w:sz w:val="17"/>
              </w:rPr>
              <w:t>Third party liability</w:t>
            </w:r>
          </w:p>
        </w:tc>
        <w:tc>
          <w:tcPr>
            <w:tcW w:type="dxa" w:w="2880"/>
          </w:tcPr>
          <w:p>
            <w:r>
              <w:rPr>
                <w:rFonts w:ascii="Arial" w:hAnsi="Arial"/>
                <w:sz w:val="17"/>
              </w:rPr>
            </w:r>
            <w:r>
              <w:rPr>
                <w:rFonts w:ascii="Arial" w:hAnsi="Arial"/>
                <w:sz w:val="17"/>
              </w:rPr>
              <w:t>EUR 5,000,000 per occurrence, unlimited in the aggregate</w:t>
            </w:r>
          </w:p>
        </w:tc>
      </w:tr>
      <w:tr>
        <w:tc>
          <w:tcPr>
            <w:tcW w:type="dxa" w:w="2880"/>
          </w:tcPr>
          <w:p>
            <w:r>
              <w:rPr>
                <w:rFonts w:ascii="Arial" w:hAnsi="Arial"/>
                <w:sz w:val="17"/>
              </w:rPr>
            </w:r>
            <w:r>
              <w:rPr>
                <w:rFonts w:ascii="Arial" w:hAnsi="Arial"/>
                <w:sz w:val="17"/>
              </w:rPr>
              <w:t>21.6 ✎</w:t>
            </w:r>
          </w:p>
        </w:tc>
        <w:tc>
          <w:tcPr>
            <w:tcW w:type="dxa" w:w="2880"/>
          </w:tcPr>
          <w:p>
            <w:r>
              <w:rPr>
                <w:rFonts w:ascii="Arial" w:hAnsi="Arial"/>
                <w:sz w:val="17"/>
              </w:rPr>
            </w:r>
            <w:r>
              <w:rPr>
                <w:rFonts w:ascii="Arial" w:hAnsi="Arial"/>
                <w:sz w:val="17"/>
              </w:rPr>
              <w:t>Arbitration</w:t>
            </w:r>
          </w:p>
        </w:tc>
        <w:tc>
          <w:tcPr>
            <w:tcW w:type="dxa" w:w="2880"/>
          </w:tcPr>
          <w:p>
            <w:r>
              <w:rPr>
                <w:rFonts w:ascii="Arial" w:hAnsi="Arial"/>
                <w:sz w:val="17"/>
              </w:rPr>
            </w:r>
            <w:r>
              <w:rPr>
                <w:rFonts w:ascii="Arial" w:hAnsi="Arial"/>
                <w:sz w:val="17"/>
              </w:rPr>
              <w:t>Finland Chamber of Commerce Rules, seat Helsinki, three arbitrators, English</w:t>
            </w:r>
          </w:p>
        </w:tc>
      </w:tr>
    </w:tbl>
    <w:p/>
    <w:p>
      <w:r>
        <w:t>Sections, Times for Completion and Delay Damages per day are unchanged from Rev A, including the cumulative accrual of Delay Damages across concurrently delayed Sections.</w:t>
      </w:r>
    </w:p>
    <w:p>
      <w:r>
        <w:rPr>
          <w:color w:val="BBBBBB"/>
        </w:rPr>
        <w:t>____________________________________________________________</w:t>
      </w:r>
    </w:p>
    <w:p>
      <w:pPr>
        <w:pStyle w:val="Heading1"/>
      </w:pPr>
      <w:r>
        <w:t>PART B — SPECIAL PROVISIONS</w:t>
      </w:r>
    </w:p>
    <w:p>
      <w:pPr>
        <w:pStyle w:val="Heading2"/>
      </w:pPr>
      <w:r>
        <w:t>Clause 1 — General Provisions</w:t>
      </w:r>
    </w:p>
    <w:p>
      <w:pPr>
        <w:pStyle w:val="Heading3"/>
      </w:pPr>
      <w:r>
        <w:t>SP-1 — Sub-Clause 1.5 (Priority of Documents)</w:t>
      </w:r>
    </w:p>
    <w:p>
      <w:r>
        <w:t>Unchanged from Rev A.</w:t>
      </w:r>
    </w:p>
    <w:p>
      <w:pPr>
        <w:pStyle w:val="Heading3"/>
      </w:pPr>
      <w:r>
        <w:t>SP-2 — Sub-Clause 1.9 (Errors in the Employer's Requirements)</w:t>
      </w:r>
    </w:p>
    <w:p>
      <w:r>
        <w:rPr>
          <w:b/>
        </w:rPr>
        <w:t>Unchanged from Rev A. Sub-Clause 1.9 is deleted in its entirety.</w:t>
      </w:r>
      <w:r>
        <w:t xml:space="preserve"> The Contractor shall be deemed to have examined the Employer's Requirements and the Anchor Tenant Technical Annex and satisfied itself as to their accuracy, sufficiency and completeness.</w:t>
      </w:r>
    </w:p>
    <w:p>
      <w:pPr>
        <w:pStyle w:val="Heading3"/>
      </w:pPr>
      <w:r>
        <w:t>SP-3 — Sub-Clause 1.15 (Limitation of Liability)</w:t>
      </w:r>
    </w:p>
    <w:p>
      <w:r>
        <w:rPr>
          <w:b/>
        </w:rPr>
        <w:t>Unchanged from Rev A. Sub-Clause 1.15 is deleted in its entirety.</w:t>
      </w:r>
    </w:p>
    <w:p>
      <w:pPr>
        <w:pStyle w:val="Heading2"/>
      </w:pPr>
      <w:r>
        <w:t>Clause 4 — The Contractor</w:t>
      </w:r>
    </w:p>
    <w:p>
      <w:pPr>
        <w:pStyle w:val="Heading3"/>
      </w:pPr>
      <w:r>
        <w:t>SP-4 — Sub-Clause 4.4 (Subcontractors)</w:t>
      </w:r>
    </w:p>
    <w:p>
      <w:r>
        <w:t>Sub-paragraph (e) of Rev A is amended to read:</w:t>
      </w:r>
    </w:p>
    <w:p>
      <w:pPr>
        <w:pStyle w:val="IntenseQuote"/>
      </w:pPr>
      <w:r>
        <w:t>"(e) Every subcontract shall provide for payment to the Subcontractor no earlier than 45 days after the Subcontractor's valid invoice."</w:t>
      </w:r>
    </w:p>
    <w:p>
      <w:r>
        <w:t>The pay-when-paid provision in Rev A is withdrawn. Sub-paragraph (f) regarding compliance with Act 1233/2006 is unchanged.</w:t>
      </w:r>
    </w:p>
    <w:p>
      <w:pPr>
        <w:pStyle w:val="Heading3"/>
      </w:pPr>
      <w:r>
        <w:t>SP-5 — Sub-Clause 4.12 (Unforeseeable Physical Conditions)</w:t>
      </w:r>
    </w:p>
    <w:p>
      <w:r>
        <w:t>The deletion in Rev A is withdrawn. Sub-Clause 4.12 is reinstated, amended as follows:</w:t>
      </w:r>
    </w:p>
    <w:p>
      <w:pPr>
        <w:pStyle w:val="IntenseQuote"/>
      </w:pPr>
      <w:r>
        <w:t>"The Contractor's entitlement under Sub-Clause 4.12 is limited to an extension of the Time for Completion. The Contractor shall have no entitlement to any additional payment in respect of physical conditions, whether or not Unforeseeable.  No condition shall be treated as Unforeseeable unless it differs materially from the conditions recorded in the geotechnical report issued with the Employer's Requirements. The matters expressly identified as residual risks in that report shall be deemed foreseeable."</w:t>
      </w:r>
    </w:p>
    <w:p>
      <w:pPr>
        <w:pStyle w:val="Heading2"/>
      </w:pPr>
      <w:r>
        <w:t>Clause 5 — Design</w:t>
      </w:r>
    </w:p>
    <w:p>
      <w:pPr>
        <w:pStyle w:val="Heading3"/>
      </w:pPr>
      <w:r>
        <w:t>SP-6 — Sub-Clause 5.1 (General Design Obligations)</w:t>
      </w:r>
    </w:p>
    <w:p>
      <w:r>
        <w:rPr>
          <w:b/>
        </w:rPr>
        <w:t>Unchanged from Rev A.</w:t>
      </w:r>
      <w:r>
        <w:t xml:space="preserve"> The absolute performance warranty stands.</w:t>
      </w:r>
    </w:p>
    <w:p>
      <w:pPr>
        <w:pStyle w:val="Heading2"/>
      </w:pPr>
      <w:r>
        <w:t>Clause 8 — Commencement, Delays and Suspension</w:t>
      </w:r>
    </w:p>
    <w:p>
      <w:pPr>
        <w:pStyle w:val="Heading3"/>
      </w:pPr>
      <w:r>
        <w:t>SP-7 — Sub-Clause 8.5 (Extension of Time for Completion)</w:t>
      </w:r>
    </w:p>
    <w:p>
      <w:r>
        <w:rPr>
          <w:b/>
        </w:rPr>
        <w:t>Unchanged from Rev A.</w:t>
      </w:r>
      <w:r>
        <w:t xml:space="preserve"> The concurrent delay bar stands.</w:t>
      </w:r>
    </w:p>
    <w:p>
      <w:pPr>
        <w:pStyle w:val="Heading3"/>
      </w:pPr>
      <w:r>
        <w:t>SP-8 — Sub-Clause 8.8 (Delay Damages)</w:t>
      </w:r>
    </w:p>
    <w:p>
      <w:r>
        <w:t>Unchanged from Rev A, save that the maximum stated in Part A is 12%.</w:t>
      </w:r>
    </w:p>
    <w:p>
      <w:pPr>
        <w:pStyle w:val="Heading2"/>
      </w:pPr>
      <w:r>
        <w:t>Clause 13 — Variations and Adjustments</w:t>
      </w:r>
    </w:p>
    <w:p>
      <w:pPr>
        <w:pStyle w:val="Heading3"/>
      </w:pPr>
      <w:r>
        <w:t>SP-9 — Sub-Clause 13.3.1 (Variation by Instruction)</w:t>
      </w:r>
    </w:p>
    <w:p>
      <w:r>
        <w:rPr>
          <w:b/>
        </w:rPr>
        <w:t>Unchanged from Rev A.</w:t>
      </w:r>
      <w:r>
        <w:t xml:space="preserve"> The Contractor must proceed immediately whether or not price and time have been agreed or determined.</w:t>
      </w:r>
    </w:p>
    <w:p>
      <w:pPr>
        <w:pStyle w:val="Heading3"/>
      </w:pPr>
      <w:r>
        <w:t>SP-10 — Sub-Clause 13.7 (Adjustments for Changes in Cost)</w:t>
      </w:r>
    </w:p>
    <w:p>
      <w:r>
        <w:t>The deletion in Rev A is withdrawn. Sub-Clause 13.7 is reinstated, amended as follows:</w:t>
      </w:r>
    </w:p>
    <w:p>
      <w:pPr>
        <w:pStyle w:val="IntenseQuote"/>
      </w:pPr>
      <w:r>
        <w:t>"Adjustment shall be calculated only in respect of structural steel, copper and diesel fuel, by reference to the Statistics Finland producer price indices for those commodities. No adjustment shall be payable unless and until the cumulative movement in the weighted index exceeds 5% from the Base Date, and adjustment shall then be payable only on the excess above 5%. No adjustment shall be made in respect of labour, energy, transport, or any other input."</w:t>
      </w:r>
    </w:p>
    <w:p>
      <w:pPr>
        <w:pStyle w:val="Heading2"/>
      </w:pPr>
      <w:r>
        <w:t>Clause 14 — Contract Price and Payment</w:t>
      </w:r>
    </w:p>
    <w:p>
      <w:pPr>
        <w:pStyle w:val="Heading3"/>
      </w:pPr>
      <w:r>
        <w:t>SP-11 — Sub-Clause 14.2 (Advance Payment)</w:t>
      </w:r>
    </w:p>
    <w:p>
      <w:r>
        <w:t>The deletion in Rev A is withdrawn. An advance payment of 5% of the Accepted Contract Amount shall be made against an advance payment guarantee in a form acceptable to the Employer, and shall be repaid by deduction of 8% from the amount certified in each Interim Payment Certificate.</w:t>
      </w:r>
    </w:p>
    <w:p>
      <w:pPr>
        <w:pStyle w:val="Heading3"/>
      </w:pPr>
      <w:r>
        <w:t>SP-12 — Sub-Clause 14.6 (Issue of IPC)</w:t>
      </w:r>
    </w:p>
    <w:p>
      <w:r>
        <w:t>The provision in Rev A is unchanged, and the following is added:</w:t>
      </w:r>
    </w:p>
    <w:p>
      <w:pPr>
        <w:pStyle w:val="IntenseQuote"/>
      </w:pPr>
      <w:r>
        <w:t>"The Employer may deduct from the amount otherwise due under any Interim Payment Certificate any sum which the Employer considers is or may become due to it from the Contractor, including any amount of Delay Damages which the Employer considers is likely to accrue in respect of any Section, whether or not the Time for Completion for that Section has passed and whether or not the amount has been agreed or determined. Any such deduction shall not constitute a failure by the Employer to pay an amount due."</w:t>
      </w:r>
    </w:p>
    <w:p>
      <w:pPr>
        <w:pStyle w:val="Heading3"/>
      </w:pPr>
      <w:r>
        <w:t>SP-13 — Sub-Clause 14.9 (Release of Retention Money)</w:t>
      </w:r>
    </w:p>
    <w:p>
      <w:r>
        <w:t>Sub-Clause 14.9 is deleted and replaced by the following:</w:t>
      </w:r>
    </w:p>
    <w:p>
      <w:pPr>
        <w:pStyle w:val="IntenseQuote"/>
      </w:pPr>
      <w:r>
        <w:t>"One half of the Retention Money shall be certified for payment on the issue of the Taking-Over Certificate for Section 4. The remainder shall be retained until the expiry of the last Defects Notification Period and the issue of the Performance Certificate. From the date of the Taking-Over Certificate for Section 1, the Contractor may substitute an on-demand bank guarantee for the Retention Money then held, in a form acceptable to the Employer."</w:t>
      </w:r>
    </w:p>
    <w:p>
      <w:pPr>
        <w:pStyle w:val="Heading2"/>
      </w:pPr>
      <w:r>
        <w:t>Clause 18 — Exceptional Events</w:t>
      </w:r>
    </w:p>
    <w:p>
      <w:pPr>
        <w:pStyle w:val="Heading3"/>
      </w:pPr>
      <w:r>
        <w:t>SP-14 — Sub-Clause 18.1 (Exceptional Events)</w:t>
      </w:r>
    </w:p>
    <w:p>
      <w:r>
        <w:t>The replacement list in Rev A is amended by adding the following event:</w:t>
      </w:r>
    </w:p>
    <w:p>
      <w:pPr>
        <w:pStyle w:val="IntenseQuote"/>
      </w:pPr>
      <w:r>
        <w:t>"(e) exceptionally adverse climatic conditions at the Site, being climatic conditions of a severity exceeded no more than once in any 25-year period according to Finnish Meteorological Institute records for the nearest representative station."</w:t>
      </w:r>
    </w:p>
    <w:p>
      <w:r>
        <w:t>The final paragraph of Rev A is amended to read:</w:t>
      </w:r>
    </w:p>
    <w:p>
      <w:pPr>
        <w:pStyle w:val="IntenseQuote"/>
      </w:pPr>
      <w:r>
        <w:t>"For the avoidance of doubt, no epidemic or pandemic, no act, omission, delay or requirement of any public authority, and no shortage or unavailability of labour, Goods, energy or transport shall constitute an Exceptional Event."</w:t>
      </w:r>
    </w:p>
    <w:p>
      <w:pPr>
        <w:pStyle w:val="Heading2"/>
      </w:pPr>
      <w:r>
        <w:t>Clause 20 — Employer's and Contractor's Claims</w:t>
      </w:r>
    </w:p>
    <w:p>
      <w:pPr>
        <w:pStyle w:val="Heading3"/>
      </w:pPr>
      <w:r>
        <w:t>SP-15 — Sub-Clause 20.2.1 (Notice of Claim)</w:t>
      </w:r>
    </w:p>
    <w:p>
      <w:r>
        <w:t xml:space="preserve">The period of 28 days in Sub-Clause 20.2.1 is deleted and replaced by </w:t>
      </w:r>
      <w:r>
        <w:rPr>
          <w:b/>
        </w:rPr>
        <w:t>21 days</w:t>
      </w:r>
      <w:r>
        <w:t>. The remainder of the provision in Rev A is unchanged:</w:t>
      </w:r>
    </w:p>
    <w:p>
      <w:pPr>
        <w:pStyle w:val="IntenseQuote"/>
      </w:pPr>
      <w:r>
        <w:t>"Compliance with the 21-day period is a condition precedent to any entitlement. If the Contractor fails to give a Notice of Claim within that period, the Claim shall be time-barred absolutely, and neither the Engineer nor any arbitral tribunal shall have any power to waive, extend or excuse non-compliance. The second and third paragraphs of Sub-Clause 20.2.2 shall not apply."</w:t>
      </w:r>
    </w:p>
    <w:p>
      <w:pPr>
        <w:pStyle w:val="Heading2"/>
      </w:pPr>
      <w:r>
        <w:t>Clause 21 — Disputes and Arbitration</w:t>
      </w:r>
    </w:p>
    <w:p>
      <w:pPr>
        <w:pStyle w:val="Heading3"/>
      </w:pPr>
      <w:r>
        <w:t>SP-16 — Sub-Clauses 21.1 to 21.4 (DAAB)</w:t>
      </w:r>
    </w:p>
    <w:p>
      <w:r>
        <w:rPr>
          <w:b/>
        </w:rPr>
        <w:t>Unchanged from Rev A. Sub-Clauses 21.1 to 21.4 are deleted in their entirety.</w:t>
      </w:r>
      <w:r>
        <w:t xml:space="preserve"> No Dispute Avoidance/Adjudication Board shall be appointed.</w:t>
      </w:r>
    </w:p>
    <w:p>
      <w:pPr>
        <w:pStyle w:val="Heading3"/>
      </w:pPr>
      <w:r>
        <w:t>SP-17 — Sub-Clause 21.6 (Arbitration)</w:t>
      </w:r>
    </w:p>
    <w:p>
      <w:r>
        <w:t>Sub-Clause 21.6 is deleted and replaced by the following:</w:t>
      </w:r>
    </w:p>
    <w:p>
      <w:pPr>
        <w:pStyle w:val="IntenseQuote"/>
      </w:pPr>
      <w:r>
        <w:t>"Any dispute arising out of or in connection with the Contract shall be finally settled by arbitration in accordance with the Arbitration Rules of the Finland Chamber of Commerce. The seat of the arbitration shall be Helsinki, Finland. The language of the arbitration shall be English. The number of arbitrators shall be three."</w:t>
      </w:r>
    </w:p>
    <w:p>
      <w:r>
        <w:rPr>
          <w:color w:val="BBBBBB"/>
        </w:rPr>
        <w:t>____________________________________________________________</w:t>
      </w:r>
    </w:p>
    <w:p>
      <w:pPr>
        <w:pStyle w:val="Heading1"/>
      </w:pPr>
      <w:r>
        <w:t>PART B (continued) — ADMINISTRATIVE PROVISIONS</w:t>
      </w:r>
    </w:p>
    <w:p>
      <w:r>
        <w:t>SP-18 (working hours), SP-19 (site security), SP-20 (review periods), SP-21 (progress reports) and SP-22 (taking over and occupancy inspection) are unchanged from Rev A.</w:t>
      </w:r>
    </w:p>
    <w:p>
      <w:r>
        <w:rPr>
          <w:color w:val="BBBBBB"/>
        </w:rPr>
        <w:t>____________________________________________________________</w:t>
      </w:r>
    </w:p>
    <w:p>
      <w:r>
        <w:rPr>
          <w:b/>
        </w:rPr>
        <w:t>End of Particular Conditions — Revision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