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PARTICULAR CONDITIONS OF CONTRACT — REVISION C</w:t>
      </w:r>
    </w:p>
    <w:p>
      <w:r>
        <w:rPr>
          <w:b/>
        </w:rPr>
        <w:t>Document Ref:</w:t>
      </w:r>
      <w:r>
        <w:t xml:space="preserve"> PDC-PC-001 Rev C</w:t>
      </w:r>
    </w:p>
    <w:p>
      <w:r>
        <w:rPr>
          <w:b/>
        </w:rPr>
        <w:t>Project:</w:t>
      </w:r>
      <w:r>
        <w:t xml:space="preserve"> Polaris DC-1 — Aviapolis Data Campus, Phase 1, Vantaa, Finland</w:t>
      </w:r>
    </w:p>
    <w:p>
      <w:r>
        <w:rPr>
          <w:b/>
        </w:rPr>
        <w:t>Employer:</w:t>
      </w:r>
      <w:r>
        <w:t xml:space="preserve"> Polaris Digital Infrastructure Oy</w:t>
      </w:r>
    </w:p>
    <w:p>
      <w:r>
        <w:rPr>
          <w:b/>
        </w:rPr>
        <w:t>Contractor:</w:t>
      </w:r>
      <w:r>
        <w:t xml:space="preserve"> NordBuild Oy</w:t>
      </w:r>
    </w:p>
    <w:p>
      <w:r>
        <w:rPr>
          <w:b/>
        </w:rPr>
        <w:t>Date issued:</w:t>
      </w:r>
      <w:r>
        <w:t xml:space="preserve"> 24 February 2026</w:t>
      </w:r>
    </w:p>
    <w:p>
      <w:r>
        <w:rPr>
          <w:b/>
        </w:rPr>
        <w:t>Status:</w:t>
      </w:r>
      <w:r>
        <w:t xml:space="preserve"> FINAL — issued for execution</w:t>
      </w:r>
    </w:p>
    <w:p>
      <w:r>
        <w:rPr>
          <w:b/>
        </w:rPr>
        <w:t>Supersedes:</w:t>
      </w:r>
      <w:r>
        <w:t xml:space="preserve"> Rev B of 6 February 2026</w:t>
      </w:r>
    </w:p>
    <w:p>
      <w:pPr>
        <w:pStyle w:val="IntenseQuote"/>
      </w:pPr>
      <w:r>
        <w:t>Synthetic demonstration data. All parties, values and terms are fictional.</w:t>
      </w:r>
    </w:p>
    <w:p>
      <w:r>
        <w:rPr>
          <w:color w:val="BBBBBB"/>
        </w:rPr>
        <w:t>____________________________________________________________</w:t>
      </w:r>
    </w:p>
    <w:p>
      <w:pPr>
        <w:pStyle w:val="Heading2"/>
      </w:pPr>
      <w:r>
        <w:t>READING INSTRUCTIONS</w:t>
      </w:r>
    </w:p>
    <w:p>
      <w:r>
        <w:t xml:space="preserve">These Particular Conditions amend the </w:t>
      </w:r>
      <w:r>
        <w:rPr>
          <w:b/>
        </w:rPr>
        <w:t>FIDIC Conditions of Contract for Plant and Design-Build, Second Edition 2017</w:t>
      </w:r>
      <w:r>
        <w:t xml:space="preserve"> (the "General Conditions") and must be read together with them. This document alone does not state the full obligations of either Party.</w:t>
      </w:r>
    </w:p>
    <w:p>
      <w:r>
        <w:rPr>
          <w:color w:val="BBBBBB"/>
        </w:rPr>
        <w:t>____________________________________________________________</w:t>
      </w:r>
    </w:p>
    <w:p>
      <w:pPr>
        <w:pStyle w:val="Heading2"/>
      </w:pPr>
      <w:r>
        <w:t>EMPLOYER'S RESPONSE TO THE CONTRACTOR'S SECOND ROUND OF COMMENTS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Contractor's comment</w:t>
            </w:r>
          </w:p>
        </w:tc>
        <w:tc>
          <w:tcPr>
            <w:tcW w:type="dxa" w:w="2880"/>
          </w:tcPr>
          <w:p>
            <w:r>
              <w:rPr>
                <w:rFonts w:ascii="Arial" w:hAnsi="Arial"/>
                <w:b/>
                <w:sz w:val="17"/>
              </w:rPr>
            </w:r>
            <w:r>
              <w:rPr>
                <w:rFonts w:ascii="Arial" w:hAnsi="Arial"/>
                <w:b/>
                <w:sz w:val="17"/>
              </w:rPr>
              <w:t>Employer's response</w:t>
            </w:r>
          </w:p>
        </w:tc>
        <w:tc>
          <w:tcPr>
            <w:tcW w:type="dxa" w:w="2880"/>
          </w:tcPr>
          <w:p>
            <w:r>
              <w:rPr>
                <w:rFonts w:ascii="Arial" w:hAnsi="Arial"/>
                <w:b/>
                <w:sz w:val="17"/>
              </w:rPr>
            </w:r>
            <w:r>
              <w:rPr>
                <w:rFonts w:ascii="Arial" w:hAnsi="Arial"/>
                <w:b/>
                <w:sz w:val="17"/>
              </w:rPr>
              <w:t>Outcome</w:t>
            </w:r>
          </w:p>
        </w:tc>
      </w:tr>
      <w:tr>
        <w:tc>
          <w:tcPr>
            <w:tcW w:type="dxa" w:w="2880"/>
          </w:tcPr>
          <w:p>
            <w:r>
              <w:rPr>
                <w:rFonts w:ascii="Arial" w:hAnsi="Arial"/>
                <w:sz w:val="17"/>
              </w:rPr>
            </w:r>
            <w:r>
              <w:rPr>
                <w:rFonts w:ascii="Arial" w:hAnsi="Arial"/>
                <w:sz w:val="17"/>
              </w:rPr>
              <w:t>Set-off of *anticipated* Delay Damages introduced at Rev B is unacceptable</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Deduction now limited to Delay Damages </w:t>
            </w:r>
            <w:r>
              <w:rPr>
                <w:rFonts w:ascii="Arial" w:hAnsi="Arial"/>
                <w:b/>
                <w:sz w:val="17"/>
              </w:rPr>
              <w:t>actually accrued and certified</w:t>
            </w:r>
          </w:p>
        </w:tc>
      </w:tr>
      <w:tr>
        <w:tc>
          <w:tcPr>
            <w:tcW w:type="dxa" w:w="2880"/>
          </w:tcPr>
          <w:p>
            <w:r>
              <w:rPr>
                <w:rFonts w:ascii="Arial" w:hAnsi="Arial"/>
                <w:sz w:val="17"/>
              </w:rPr>
            </w:r>
            <w:r>
              <w:rPr>
                <w:rFonts w:ascii="Arial" w:hAnsi="Arial"/>
                <w:sz w:val="17"/>
              </w:rPr>
              <w:t>Cap on Delay Damages of 12% still exceeds our benchmark of 10%</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Reduced to </w:t>
            </w:r>
            <w:r>
              <w:rPr>
                <w:rFonts w:ascii="Arial" w:hAnsi="Arial"/>
                <w:b/>
                <w:sz w:val="17"/>
              </w:rPr>
              <w:t>10%</w:t>
            </w:r>
          </w:p>
        </w:tc>
      </w:tr>
      <w:tr>
        <w:tc>
          <w:tcPr>
            <w:tcW w:type="dxa" w:w="2880"/>
          </w:tcPr>
          <w:p>
            <w:r>
              <w:rPr>
                <w:rFonts w:ascii="Arial" w:hAnsi="Arial"/>
                <w:sz w:val="17"/>
              </w:rPr>
            </w:r>
            <w:r>
              <w:rPr>
                <w:rFonts w:ascii="Arial" w:hAnsi="Arial"/>
                <w:sz w:val="17"/>
              </w:rPr>
              <w:t>Retention of 7.5% and deferred release</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Reduced to </w:t>
            </w:r>
            <w:r>
              <w:rPr>
                <w:rFonts w:ascii="Arial" w:hAnsi="Arial"/>
                <w:b/>
                <w:sz w:val="17"/>
              </w:rPr>
              <w:t>5%</w:t>
            </w:r>
            <w:r>
              <w:rPr>
                <w:rFonts w:ascii="Arial" w:hAnsi="Arial"/>
                <w:sz w:val="17"/>
              </w:rPr>
              <w:t>, bond option from the outset, half released at Section 1</w:t>
            </w:r>
          </w:p>
        </w:tc>
      </w:tr>
      <w:tr>
        <w:tc>
          <w:tcPr>
            <w:tcW w:type="dxa" w:w="2880"/>
          </w:tcPr>
          <w:p>
            <w:r>
              <w:rPr>
                <w:rFonts w:ascii="Arial" w:hAnsi="Arial"/>
                <w:sz w:val="17"/>
              </w:rPr>
            </w:r>
            <w:r>
              <w:rPr>
                <w:rFonts w:ascii="Arial" w:hAnsi="Arial"/>
                <w:sz w:val="17"/>
              </w:rPr>
              <w:t>Advance payment of 5% is below market</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Increased to </w:t>
            </w:r>
            <w:r>
              <w:rPr>
                <w:rFonts w:ascii="Arial" w:hAnsi="Arial"/>
                <w:b/>
                <w:sz w:val="17"/>
              </w:rPr>
              <w:t>10%</w:t>
            </w:r>
          </w:p>
        </w:tc>
      </w:tr>
      <w:tr>
        <w:tc>
          <w:tcPr>
            <w:tcW w:type="dxa" w:w="2880"/>
          </w:tcPr>
          <w:p>
            <w:r>
              <w:rPr>
                <w:rFonts w:ascii="Arial" w:hAnsi="Arial"/>
                <w:sz w:val="17"/>
              </w:rPr>
            </w:r>
            <w:r>
              <w:rPr>
                <w:rFonts w:ascii="Arial" w:hAnsi="Arial"/>
                <w:sz w:val="17"/>
              </w:rPr>
              <w:t>Concurrent delay bar (SP-7)</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Bar removed; </w:t>
            </w:r>
            <w:r>
              <w:rPr>
                <w:rFonts w:ascii="Arial" w:hAnsi="Arial"/>
                <w:b/>
                <w:sz w:val="17"/>
              </w:rPr>
              <w:t>apportionment</w:t>
            </w:r>
            <w:r>
              <w:rPr>
                <w:rFonts w:ascii="Arial" w:hAnsi="Arial"/>
                <w:sz w:val="17"/>
              </w:rPr>
              <w:t xml:space="preserve"> applies</w:t>
            </w:r>
          </w:p>
        </w:tc>
      </w:tr>
      <w:tr>
        <w:tc>
          <w:tcPr>
            <w:tcW w:type="dxa" w:w="2880"/>
          </w:tcPr>
          <w:p>
            <w:r>
              <w:rPr>
                <w:rFonts w:ascii="Arial" w:hAnsi="Arial"/>
                <w:sz w:val="17"/>
              </w:rPr>
            </w:r>
            <w:r>
              <w:rPr>
                <w:rFonts w:ascii="Arial" w:hAnsi="Arial"/>
                <w:sz w:val="17"/>
              </w:rPr>
              <w:t>Absolute time bar with no waiver power (SP-15)</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sz w:val="17"/>
              </w:rPr>
              <w:t xml:space="preserve">Restored to </w:t>
            </w:r>
            <w:r>
              <w:rPr>
                <w:rFonts w:ascii="Arial" w:hAnsi="Arial"/>
                <w:b/>
                <w:sz w:val="17"/>
              </w:rPr>
              <w:t>28 days</w:t>
            </w:r>
            <w:r>
              <w:rPr>
                <w:rFonts w:ascii="Arial" w:hAnsi="Arial"/>
                <w:sz w:val="17"/>
              </w:rPr>
              <w:t xml:space="preserve"> with the Sub-Clause 20.2.2 route reinstated</w:t>
            </w:r>
          </w:p>
        </w:tc>
      </w:tr>
      <w:tr>
        <w:tc>
          <w:tcPr>
            <w:tcW w:type="dxa" w:w="2880"/>
          </w:tcPr>
          <w:p>
            <w:r>
              <w:rPr>
                <w:rFonts w:ascii="Arial" w:hAnsi="Arial"/>
                <w:sz w:val="17"/>
              </w:rPr>
            </w:r>
            <w:r>
              <w:rPr>
                <w:rFonts w:ascii="Arial" w:hAnsi="Arial"/>
                <w:sz w:val="17"/>
              </w:rPr>
              <w:t>Deletion of Sub-Clause 1.15 (limitation of liability)</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b/>
                <w:sz w:val="17"/>
              </w:rPr>
              <w:t>Reinstated</w:t>
            </w:r>
            <w:r>
              <w:rPr>
                <w:rFonts w:ascii="Arial" w:hAnsi="Arial"/>
                <w:sz w:val="17"/>
              </w:rPr>
              <w:t>, with agreed carve-outs</w:t>
            </w:r>
          </w:p>
        </w:tc>
      </w:tr>
      <w:tr>
        <w:tc>
          <w:tcPr>
            <w:tcW w:type="dxa" w:w="2880"/>
          </w:tcPr>
          <w:p>
            <w:r>
              <w:rPr>
                <w:rFonts w:ascii="Arial" w:hAnsi="Arial"/>
                <w:sz w:val="17"/>
              </w:rPr>
            </w:r>
            <w:r>
              <w:rPr>
                <w:rFonts w:ascii="Arial" w:hAnsi="Arial"/>
                <w:sz w:val="17"/>
              </w:rPr>
              <w:t>Deletion of Sub-Clause 1.9 (errors in Employer's Requirements)</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b/>
                <w:sz w:val="17"/>
              </w:rPr>
              <w:t>Reinstated</w:t>
            </w:r>
          </w:p>
        </w:tc>
      </w:tr>
      <w:tr>
        <w:tc>
          <w:tcPr>
            <w:tcW w:type="dxa" w:w="2880"/>
          </w:tcPr>
          <w:p>
            <w:r>
              <w:rPr>
                <w:rFonts w:ascii="Arial" w:hAnsi="Arial"/>
                <w:sz w:val="17"/>
              </w:rPr>
            </w:r>
            <w:r>
              <w:rPr>
                <w:rFonts w:ascii="Arial" w:hAnsi="Arial"/>
                <w:sz w:val="17"/>
              </w:rPr>
              <w:t>Absolute performance warranty (SP-6)</w:t>
            </w:r>
          </w:p>
        </w:tc>
        <w:tc>
          <w:tcPr>
            <w:tcW w:type="dxa" w:w="2880"/>
          </w:tcPr>
          <w:p>
            <w:r>
              <w:rPr>
                <w:rFonts w:ascii="Arial" w:hAnsi="Arial"/>
                <w:sz w:val="17"/>
              </w:rPr>
            </w:r>
            <w:r>
              <w:rPr>
                <w:rFonts w:ascii="Arial" w:hAnsi="Arial"/>
                <w:sz w:val="17"/>
              </w:rPr>
              <w:t>Accepted in part</w:t>
            </w:r>
          </w:p>
        </w:tc>
        <w:tc>
          <w:tcPr>
            <w:tcW w:type="dxa" w:w="2880"/>
          </w:tcPr>
          <w:p>
            <w:r>
              <w:rPr>
                <w:rFonts w:ascii="Arial" w:hAnsi="Arial"/>
                <w:sz w:val="17"/>
              </w:rPr>
            </w:r>
            <w:r>
              <w:rPr>
                <w:rFonts w:ascii="Arial" w:hAnsi="Arial"/>
                <w:sz w:val="17"/>
              </w:rPr>
              <w:t xml:space="preserve">Design obligation returns to </w:t>
            </w:r>
            <w:r>
              <w:rPr>
                <w:rFonts w:ascii="Arial" w:hAnsi="Arial"/>
                <w:b/>
                <w:sz w:val="17"/>
              </w:rPr>
              <w:t>reasonable skill and care</w:t>
            </w:r>
            <w:r>
              <w:rPr>
                <w:rFonts w:ascii="Arial" w:hAnsi="Arial"/>
                <w:sz w:val="17"/>
              </w:rPr>
              <w:t>; the stated PUE, WUE and availability figures remain guaranteed</w:t>
            </w:r>
          </w:p>
        </w:tc>
      </w:tr>
      <w:tr>
        <w:tc>
          <w:tcPr>
            <w:tcW w:type="dxa" w:w="2880"/>
          </w:tcPr>
          <w:p>
            <w:r>
              <w:rPr>
                <w:rFonts w:ascii="Arial" w:hAnsi="Arial"/>
                <w:sz w:val="17"/>
              </w:rPr>
            </w:r>
            <w:r>
              <w:rPr>
                <w:rFonts w:ascii="Arial" w:hAnsi="Arial"/>
                <w:sz w:val="17"/>
              </w:rPr>
              <w:t>Sub-Clause 4.12 limited to time only, residual risks deemed foreseeable</w:t>
            </w:r>
          </w:p>
        </w:tc>
        <w:tc>
          <w:tcPr>
            <w:tcW w:type="dxa" w:w="2880"/>
          </w:tcPr>
          <w:p>
            <w:r>
              <w:rPr>
                <w:rFonts w:ascii="Arial" w:hAnsi="Arial"/>
                <w:sz w:val="17"/>
              </w:rPr>
            </w:r>
            <w:r>
              <w:rPr>
                <w:rFonts w:ascii="Arial" w:hAnsi="Arial"/>
                <w:sz w:val="17"/>
              </w:rPr>
              <w:t>Accepted</w:t>
            </w:r>
          </w:p>
        </w:tc>
        <w:tc>
          <w:tcPr>
            <w:tcW w:type="dxa" w:w="2880"/>
          </w:tcPr>
          <w:p>
            <w:r>
              <w:rPr>
                <w:rFonts w:ascii="Arial" w:hAnsi="Arial"/>
                <w:sz w:val="17"/>
              </w:rPr>
            </w:r>
            <w:r>
              <w:rPr>
                <w:rFonts w:ascii="Arial" w:hAnsi="Arial"/>
                <w:b/>
                <w:sz w:val="17"/>
              </w:rPr>
              <w:t>Reinstated in full</w:t>
            </w:r>
            <w:r>
              <w:rPr>
                <w:rFonts w:ascii="Arial" w:hAnsi="Arial"/>
                <w:sz w:val="17"/>
              </w:rPr>
              <w:t>, deemed-foreseeable wording removed</w:t>
            </w:r>
          </w:p>
        </w:tc>
      </w:tr>
      <w:tr>
        <w:tc>
          <w:tcPr>
            <w:tcW w:type="dxa" w:w="2880"/>
          </w:tcPr>
          <w:p>
            <w:r>
              <w:rPr>
                <w:rFonts w:ascii="Arial" w:hAnsi="Arial"/>
                <w:sz w:val="17"/>
              </w:rPr>
            </w:r>
            <w:r>
              <w:rPr>
                <w:rFonts w:ascii="Arial" w:hAnsi="Arial"/>
                <w:sz w:val="17"/>
              </w:rPr>
              <w:t>Sub-Clause 13.7 limited to three commodities with a 5% franchise</w:t>
            </w:r>
          </w:p>
        </w:tc>
        <w:tc>
          <w:tcPr>
            <w:tcW w:type="dxa" w:w="2880"/>
          </w:tcPr>
          <w:p>
            <w:r>
              <w:rPr>
                <w:rFonts w:ascii="Arial" w:hAnsi="Arial"/>
                <w:sz w:val="17"/>
              </w:rPr>
            </w:r>
            <w:r>
              <w:rPr>
                <w:rFonts w:ascii="Arial" w:hAnsi="Arial"/>
                <w:sz w:val="17"/>
              </w:rPr>
              <w:t>Accepted in part</w:t>
            </w:r>
          </w:p>
        </w:tc>
        <w:tc>
          <w:tcPr>
            <w:tcW w:type="dxa" w:w="2880"/>
          </w:tcPr>
          <w:p>
            <w:r>
              <w:rPr>
                <w:rFonts w:ascii="Arial" w:hAnsi="Arial"/>
                <w:sz w:val="17"/>
              </w:rPr>
            </w:r>
            <w:r>
              <w:rPr>
                <w:rFonts w:ascii="Arial" w:hAnsi="Arial"/>
                <w:sz w:val="17"/>
              </w:rPr>
              <w:t xml:space="preserve">Franchise reduced to </w:t>
            </w:r>
            <w:r>
              <w:rPr>
                <w:rFonts w:ascii="Arial" w:hAnsi="Arial"/>
                <w:b/>
                <w:sz w:val="17"/>
              </w:rPr>
              <w:t>2%</w:t>
            </w:r>
            <w:r>
              <w:rPr>
                <w:rFonts w:ascii="Arial" w:hAnsi="Arial"/>
                <w:sz w:val="17"/>
              </w:rPr>
              <w:t>; basket extended to include labour</w:t>
            </w:r>
          </w:p>
        </w:tc>
      </w:tr>
      <w:tr>
        <w:tc>
          <w:tcPr>
            <w:tcW w:type="dxa" w:w="2880"/>
          </w:tcPr>
          <w:p>
            <w:r>
              <w:rPr>
                <w:rFonts w:ascii="Arial" w:hAnsi="Arial"/>
                <w:sz w:val="17"/>
              </w:rPr>
            </w:r>
            <w:r>
              <w:rPr>
                <w:rFonts w:ascii="Arial" w:hAnsi="Arial"/>
                <w:sz w:val="17"/>
              </w:rPr>
              <w:t>Obligation to proceed with a Variation before price is agreed (SP-9)</w:t>
            </w:r>
          </w:p>
        </w:tc>
        <w:tc>
          <w:tcPr>
            <w:tcW w:type="dxa" w:w="2880"/>
          </w:tcPr>
          <w:p>
            <w:r>
              <w:rPr>
                <w:rFonts w:ascii="Arial" w:hAnsi="Arial"/>
                <w:sz w:val="17"/>
              </w:rPr>
            </w:r>
            <w:r>
              <w:rPr>
                <w:rFonts w:ascii="Arial" w:hAnsi="Arial"/>
                <w:sz w:val="17"/>
              </w:rPr>
              <w:t>Accepted in part</w:t>
            </w:r>
          </w:p>
        </w:tc>
        <w:tc>
          <w:tcPr>
            <w:tcW w:type="dxa" w:w="2880"/>
          </w:tcPr>
          <w:p>
            <w:r>
              <w:rPr>
                <w:rFonts w:ascii="Arial" w:hAnsi="Arial"/>
                <w:sz w:val="17"/>
              </w:rPr>
            </w:r>
            <w:r>
              <w:rPr>
                <w:rFonts w:ascii="Arial" w:hAnsi="Arial"/>
                <w:sz w:val="17"/>
              </w:rPr>
              <w:t xml:space="preserve">Contractor must proceed, but the Engineer shall make an </w:t>
            </w:r>
            <w:r>
              <w:rPr>
                <w:rFonts w:ascii="Arial" w:hAnsi="Arial"/>
                <w:b/>
                <w:sz w:val="17"/>
              </w:rPr>
              <w:t>interim valuation within 28 days</w:t>
            </w:r>
            <w:r>
              <w:rPr>
                <w:rFonts w:ascii="Arial" w:hAnsi="Arial"/>
                <w:sz w:val="17"/>
              </w:rPr>
              <w:t xml:space="preserve"> and certify it</w:t>
            </w:r>
          </w:p>
        </w:tc>
      </w:tr>
      <w:tr>
        <w:tc>
          <w:tcPr>
            <w:tcW w:type="dxa" w:w="2880"/>
          </w:tcPr>
          <w:p>
            <w:r>
              <w:rPr>
                <w:rFonts w:ascii="Arial" w:hAnsi="Arial"/>
                <w:sz w:val="17"/>
              </w:rPr>
            </w:r>
            <w:r>
              <w:rPr>
                <w:rFonts w:ascii="Arial" w:hAnsi="Arial"/>
                <w:sz w:val="17"/>
              </w:rPr>
              <w:t>Restore the DAAB provisions (Sub-Clauses 21.1 to 21.4)</w:t>
            </w:r>
          </w:p>
        </w:tc>
        <w:tc>
          <w:tcPr>
            <w:tcW w:type="dxa" w:w="2880"/>
          </w:tcPr>
          <w:p>
            <w:r>
              <w:rPr>
                <w:rFonts w:ascii="Arial" w:hAnsi="Arial"/>
                <w:sz w:val="17"/>
              </w:rPr>
            </w:r>
            <w:r>
              <w:rPr>
                <w:rFonts w:ascii="Arial" w:hAnsi="Arial"/>
                <w:b/>
                <w:sz w:val="17"/>
              </w:rPr>
              <w:t>Not accepted</w:t>
            </w:r>
          </w:p>
        </w:tc>
        <w:tc>
          <w:tcPr>
            <w:tcW w:type="dxa" w:w="2880"/>
          </w:tcPr>
          <w:p>
            <w:r>
              <w:rPr>
                <w:rFonts w:ascii="Arial" w:hAnsi="Arial"/>
                <w:sz w:val="17"/>
              </w:rPr>
            </w:r>
            <w:r>
              <w:rPr>
                <w:rFonts w:ascii="Arial" w:hAnsi="Arial"/>
                <w:sz w:val="17"/>
              </w:rPr>
              <w:t>Unchanged — no DAAB will be appointed</w:t>
            </w:r>
          </w:p>
        </w:tc>
      </w:tr>
    </w:tbl>
    <w:p/>
    <w:p>
      <w:r>
        <w:rPr>
          <w:color w:val="BBBBBB"/>
        </w:rPr>
        <w:t>____________________________________________________________</w:t>
      </w:r>
    </w:p>
    <w:p>
      <w:pPr>
        <w:pStyle w:val="Heading2"/>
      </w:pPr>
      <w:r>
        <w:t>CONTRACTOR'S POSITION ON EXECUTION</w:t>
      </w:r>
    </w:p>
    <w:p>
      <w:r>
        <w:t>The Contractor has recorded, in letter NB-PDC-031 of 21 February 2026, that it is prepared to execute the Contract on the basis of Rev C, noting one point as a</w:t>
      </w:r>
    </w:p>
    <w:p>
      <w:r>
        <w:rPr>
          <w:b/>
        </w:rPr>
        <w:t>knowingly accepted residual risk</w:t>
      </w:r>
      <w:r>
        <w:t>:</w:t>
      </w:r>
    </w:p>
    <w:p>
      <w:pPr>
        <w:pStyle w:val="IntenseQuote"/>
      </w:pPr>
      <w:r>
        <w:t>"We accept that no Dispute Avoidance/Adjudication Board will be appointed and that Sub-Clauses 21.1 to 21.4 remain deleted. Our contracts in Finland have historically been referred to arbitration under the Finland Chamber of Commerce Rules without a standing board, and we regard the cost and administrative burden of a DAAB on a 22-month programme as disproportionate. We record that this removes the dispute-avoidance layer and that disputes will proceed directly to arbitration, and we accept that consequence."</w:t>
      </w:r>
    </w:p>
    <w:p>
      <w:r>
        <w:t>The Delay Damages day-rates remain higher than our historical norm. With the aggregate cap now at 10% and the concurrency bar removed, the Contractor accepts the day-rates as commercially justified by the Employer's downstream exposure to Tenant service credits.</w:t>
      </w:r>
    </w:p>
    <w:p>
      <w:r>
        <w:rPr>
          <w:color w:val="BBBBBB"/>
        </w:rPr>
        <w:t>____________________________________________________________</w:t>
      </w:r>
    </w:p>
    <w:p>
      <w:pPr>
        <w:pStyle w:val="Heading1"/>
      </w:pPr>
      <w:r>
        <w:t>PART A — CONTRACT DATA</w:t>
      </w:r>
    </w:p>
    <w:p>
      <w:r>
        <w:t>Changed items since Rev B are marked ✎.</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Sub-Clause</w:t>
            </w:r>
          </w:p>
        </w:tc>
        <w:tc>
          <w:tcPr>
            <w:tcW w:type="dxa" w:w="2880"/>
          </w:tcPr>
          <w:p>
            <w:r>
              <w:rPr>
                <w:rFonts w:ascii="Arial" w:hAnsi="Arial"/>
                <w:b/>
                <w:sz w:val="17"/>
              </w:rPr>
            </w:r>
            <w:r>
              <w:rPr>
                <w:rFonts w:ascii="Arial" w:hAnsi="Arial"/>
                <w:b/>
                <w:sz w:val="17"/>
              </w:rPr>
              <w:t>Item</w:t>
            </w:r>
          </w:p>
        </w:tc>
        <w:tc>
          <w:tcPr>
            <w:tcW w:type="dxa" w:w="2880"/>
          </w:tcPr>
          <w:p>
            <w:r>
              <w:rPr>
                <w:rFonts w:ascii="Arial" w:hAnsi="Arial"/>
                <w:b/>
                <w:sz w:val="17"/>
              </w:rPr>
            </w:r>
            <w:r>
              <w:rPr>
                <w:rFonts w:ascii="Arial" w:hAnsi="Arial"/>
                <w:b/>
                <w:sz w:val="17"/>
              </w:rPr>
              <w:t>Data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Employer</w:t>
            </w:r>
          </w:p>
        </w:tc>
        <w:tc>
          <w:tcPr>
            <w:tcW w:type="dxa" w:w="2880"/>
          </w:tcPr>
          <w:p>
            <w:r>
              <w:rPr>
                <w:rFonts w:ascii="Arial" w:hAnsi="Arial"/>
                <w:sz w:val="17"/>
              </w:rPr>
            </w:r>
            <w:r>
              <w:rPr>
                <w:rFonts w:ascii="Arial" w:hAnsi="Arial"/>
                <w:sz w:val="17"/>
              </w:rPr>
              <w:t>Polaris Digital Infrastructure Oy, Business ID 3241887-4, Aviapolis, Vantaa</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Contractor</w:t>
            </w:r>
          </w:p>
        </w:tc>
        <w:tc>
          <w:tcPr>
            <w:tcW w:type="dxa" w:w="2880"/>
          </w:tcPr>
          <w:p>
            <w:r>
              <w:rPr>
                <w:rFonts w:ascii="Arial" w:hAnsi="Arial"/>
                <w:sz w:val="17"/>
              </w:rPr>
            </w:r>
            <w:r>
              <w:rPr>
                <w:rFonts w:ascii="Arial" w:hAnsi="Arial"/>
                <w:sz w:val="17"/>
              </w:rPr>
              <w:t>NordBuild Oy, Business ID 1998442-1,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Engineer</w:t>
            </w:r>
          </w:p>
        </w:tc>
        <w:tc>
          <w:tcPr>
            <w:tcW w:type="dxa" w:w="2880"/>
          </w:tcPr>
          <w:p>
            <w:r>
              <w:rPr>
                <w:rFonts w:ascii="Arial" w:hAnsi="Arial"/>
                <w:sz w:val="17"/>
              </w:rPr>
            </w:r>
            <w:r>
              <w:rPr>
                <w:rFonts w:ascii="Arial" w:hAnsi="Arial"/>
                <w:sz w:val="17"/>
              </w:rPr>
              <w:t>Norvia Consulting Oy, Helsinki</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Accepted Contract Amount</w:t>
            </w:r>
          </w:p>
        </w:tc>
        <w:tc>
          <w:tcPr>
            <w:tcW w:type="dxa" w:w="2880"/>
          </w:tcPr>
          <w:p>
            <w:r>
              <w:rPr>
                <w:rFonts w:ascii="Arial" w:hAnsi="Arial"/>
                <w:sz w:val="17"/>
              </w:rPr>
            </w:r>
            <w:r>
              <w:rPr>
                <w:rFonts w:ascii="Arial" w:hAnsi="Arial"/>
                <w:sz w:val="17"/>
              </w:rPr>
              <w:t>EUR 92,400,000</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Base Date</w:t>
            </w:r>
          </w:p>
        </w:tc>
        <w:tc>
          <w:tcPr>
            <w:tcW w:type="dxa" w:w="2880"/>
          </w:tcPr>
          <w:p>
            <w:r>
              <w:rPr>
                <w:rFonts w:ascii="Arial" w:hAnsi="Arial"/>
                <w:sz w:val="17"/>
              </w:rPr>
            </w:r>
            <w:r>
              <w:rPr>
                <w:rFonts w:ascii="Arial" w:hAnsi="Arial"/>
                <w:sz w:val="17"/>
              </w:rPr>
              <w:t>12 December 2025</w:t>
            </w:r>
          </w:p>
        </w:tc>
      </w:tr>
      <w:tr>
        <w:tc>
          <w:tcPr>
            <w:tcW w:type="dxa" w:w="2880"/>
          </w:tcPr>
          <w:p>
            <w:r>
              <w:rPr>
                <w:rFonts w:ascii="Arial" w:hAnsi="Arial"/>
                <w:sz w:val="17"/>
              </w:rPr>
            </w:r>
            <w:r>
              <w:rPr>
                <w:rFonts w:ascii="Arial" w:hAnsi="Arial"/>
                <w:sz w:val="17"/>
              </w:rPr>
              <w:t>1.1</w:t>
            </w:r>
          </w:p>
        </w:tc>
        <w:tc>
          <w:tcPr>
            <w:tcW w:type="dxa" w:w="2880"/>
          </w:tcPr>
          <w:p>
            <w:r>
              <w:rPr>
                <w:rFonts w:ascii="Arial" w:hAnsi="Arial"/>
                <w:sz w:val="17"/>
              </w:rPr>
            </w:r>
            <w:r>
              <w:rPr>
                <w:rFonts w:ascii="Arial" w:hAnsi="Arial"/>
                <w:sz w:val="17"/>
              </w:rPr>
              <w:t>Commencement Date</w:t>
            </w:r>
          </w:p>
        </w:tc>
        <w:tc>
          <w:tcPr>
            <w:tcW w:type="dxa" w:w="2880"/>
          </w:tcPr>
          <w:p>
            <w:r>
              <w:rPr>
                <w:rFonts w:ascii="Arial" w:hAnsi="Arial"/>
                <w:sz w:val="17"/>
              </w:rPr>
            </w:r>
            <w:r>
              <w:rPr>
                <w:rFonts w:ascii="Arial" w:hAnsi="Arial"/>
                <w:sz w:val="17"/>
              </w:rPr>
              <w:t>2 March 2026</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Governing Law</w:t>
            </w:r>
          </w:p>
        </w:tc>
        <w:tc>
          <w:tcPr>
            <w:tcW w:type="dxa" w:w="2880"/>
          </w:tcPr>
          <w:p>
            <w:r>
              <w:rPr>
                <w:rFonts w:ascii="Arial" w:hAnsi="Arial"/>
                <w:sz w:val="17"/>
              </w:rPr>
            </w:r>
            <w:r>
              <w:rPr>
                <w:rFonts w:ascii="Arial" w:hAnsi="Arial"/>
                <w:sz w:val="17"/>
              </w:rPr>
              <w:t>The law of Finland</w:t>
            </w:r>
          </w:p>
        </w:tc>
      </w:tr>
      <w:tr>
        <w:tc>
          <w:tcPr>
            <w:tcW w:type="dxa" w:w="2880"/>
          </w:tcPr>
          <w:p>
            <w:r>
              <w:rPr>
                <w:rFonts w:ascii="Arial" w:hAnsi="Arial"/>
                <w:sz w:val="17"/>
              </w:rPr>
            </w:r>
            <w:r>
              <w:rPr>
                <w:rFonts w:ascii="Arial" w:hAnsi="Arial"/>
                <w:sz w:val="17"/>
              </w:rPr>
              <w:t>1.4</w:t>
            </w:r>
          </w:p>
        </w:tc>
        <w:tc>
          <w:tcPr>
            <w:tcW w:type="dxa" w:w="2880"/>
          </w:tcPr>
          <w:p>
            <w:r>
              <w:rPr>
                <w:rFonts w:ascii="Arial" w:hAnsi="Arial"/>
                <w:sz w:val="17"/>
              </w:rPr>
            </w:r>
            <w:r>
              <w:rPr>
                <w:rFonts w:ascii="Arial" w:hAnsi="Arial"/>
                <w:sz w:val="17"/>
              </w:rPr>
              <w:t>Ruling language</w:t>
            </w:r>
          </w:p>
        </w:tc>
        <w:tc>
          <w:tcPr>
            <w:tcW w:type="dxa" w:w="2880"/>
          </w:tcPr>
          <w:p>
            <w:r>
              <w:rPr>
                <w:rFonts w:ascii="Arial" w:hAnsi="Arial"/>
                <w:sz w:val="17"/>
              </w:rPr>
            </w:r>
            <w:r>
              <w:rPr>
                <w:rFonts w:ascii="Arial" w:hAnsi="Arial"/>
                <w:sz w:val="17"/>
              </w:rPr>
              <w:t>English</w:t>
            </w:r>
          </w:p>
        </w:tc>
      </w:tr>
      <w:tr>
        <w:tc>
          <w:tcPr>
            <w:tcW w:type="dxa" w:w="2880"/>
          </w:tcPr>
          <w:p>
            <w:r>
              <w:rPr>
                <w:rFonts w:ascii="Arial" w:hAnsi="Arial"/>
                <w:sz w:val="17"/>
              </w:rPr>
            </w:r>
            <w:r>
              <w:rPr>
                <w:rFonts w:ascii="Arial" w:hAnsi="Arial"/>
                <w:sz w:val="17"/>
              </w:rPr>
              <w:t>1.15 ✎</w:t>
            </w:r>
          </w:p>
        </w:tc>
        <w:tc>
          <w:tcPr>
            <w:tcW w:type="dxa" w:w="2880"/>
          </w:tcPr>
          <w:p>
            <w:r>
              <w:rPr>
                <w:rFonts w:ascii="Arial" w:hAnsi="Arial"/>
                <w:sz w:val="17"/>
              </w:rPr>
            </w:r>
            <w:r>
              <w:rPr>
                <w:rFonts w:ascii="Arial" w:hAnsi="Arial"/>
                <w:sz w:val="17"/>
              </w:rPr>
              <w:t>Limitation of Liability</w:t>
            </w:r>
          </w:p>
        </w:tc>
        <w:tc>
          <w:tcPr>
            <w:tcW w:type="dxa" w:w="2880"/>
          </w:tcPr>
          <w:p>
            <w:r>
              <w:rPr>
                <w:rFonts w:ascii="Arial" w:hAnsi="Arial"/>
                <w:sz w:val="17"/>
              </w:rPr>
            </w:r>
            <w:r>
              <w:rPr>
                <w:rFonts w:ascii="Arial" w:hAnsi="Arial"/>
                <w:sz w:val="17"/>
              </w:rPr>
              <w:t>Contractor's total liability limited to the Accepted Contract Amount, excluding liability for death or personal injury, fraud, wilful misconduct, abandonment, and the proceeds of any insurance</w:t>
            </w:r>
          </w:p>
        </w:tc>
      </w:tr>
      <w:tr>
        <w:tc>
          <w:tcPr>
            <w:tcW w:type="dxa" w:w="2880"/>
          </w:tcPr>
          <w:p>
            <w:r>
              <w:rPr>
                <w:rFonts w:ascii="Arial" w:hAnsi="Arial"/>
                <w:sz w:val="17"/>
              </w:rPr>
            </w:r>
            <w:r>
              <w:rPr>
                <w:rFonts w:ascii="Arial" w:hAnsi="Arial"/>
                <w:sz w:val="17"/>
              </w:rPr>
              <w:t>4.2</w:t>
            </w:r>
          </w:p>
        </w:tc>
        <w:tc>
          <w:tcPr>
            <w:tcW w:type="dxa" w:w="2880"/>
          </w:tcPr>
          <w:p>
            <w:r>
              <w:rPr>
                <w:rFonts w:ascii="Arial" w:hAnsi="Arial"/>
                <w:sz w:val="17"/>
              </w:rPr>
            </w:r>
            <w:r>
              <w:rPr>
                <w:rFonts w:ascii="Arial" w:hAnsi="Arial"/>
                <w:sz w:val="17"/>
              </w:rPr>
              <w:t>Performance Security</w:t>
            </w:r>
          </w:p>
        </w:tc>
        <w:tc>
          <w:tcPr>
            <w:tcW w:type="dxa" w:w="2880"/>
          </w:tcPr>
          <w:p>
            <w:r>
              <w:rPr>
                <w:rFonts w:ascii="Arial" w:hAnsi="Arial"/>
                <w:sz w:val="17"/>
              </w:rPr>
            </w:r>
            <w:r>
              <w:rPr>
                <w:rFonts w:ascii="Arial" w:hAnsi="Arial"/>
                <w:sz w:val="17"/>
              </w:rPr>
              <w:t>10% of the Accepted Contract Amount, on-demand bank guarantee</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Time for Completion — whole of the Works</w:t>
            </w:r>
          </w:p>
        </w:tc>
        <w:tc>
          <w:tcPr>
            <w:tcW w:type="dxa" w:w="2880"/>
          </w:tcPr>
          <w:p>
            <w:r>
              <w:rPr>
                <w:rFonts w:ascii="Arial" w:hAnsi="Arial"/>
                <w:sz w:val="17"/>
              </w:rPr>
            </w:r>
            <w:r>
              <w:rPr>
                <w:rFonts w:ascii="Arial" w:hAnsi="Arial"/>
                <w:sz w:val="17"/>
              </w:rPr>
              <w:t>22 months from the Commencement Date</w:t>
            </w:r>
          </w:p>
        </w:tc>
      </w:tr>
      <w:tr>
        <w:tc>
          <w:tcPr>
            <w:tcW w:type="dxa" w:w="2880"/>
          </w:tcPr>
          <w:p>
            <w:r>
              <w:rPr>
                <w:rFonts w:ascii="Arial" w:hAnsi="Arial"/>
                <w:sz w:val="17"/>
              </w:rPr>
            </w:r>
            <w:r>
              <w:rPr>
                <w:rFonts w:ascii="Arial" w:hAnsi="Arial"/>
                <w:sz w:val="17"/>
              </w:rPr>
              <w:t>8.2</w:t>
            </w:r>
          </w:p>
        </w:tc>
        <w:tc>
          <w:tcPr>
            <w:tcW w:type="dxa" w:w="2880"/>
          </w:tcPr>
          <w:p>
            <w:r>
              <w:rPr>
                <w:rFonts w:ascii="Arial" w:hAnsi="Arial"/>
                <w:sz w:val="17"/>
              </w:rPr>
            </w:r>
            <w:r>
              <w:rPr>
                <w:rFonts w:ascii="Arial" w:hAnsi="Arial"/>
                <w:sz w:val="17"/>
              </w:rPr>
              <w:t>Sections</w:t>
            </w:r>
          </w:p>
        </w:tc>
        <w:tc>
          <w:tcPr>
            <w:tcW w:type="dxa" w:w="2880"/>
          </w:tcPr>
          <w:p>
            <w:r>
              <w:rPr>
                <w:rFonts w:ascii="Arial" w:hAnsi="Arial"/>
                <w:sz w:val="17"/>
              </w:rPr>
            </w:r>
            <w:r>
              <w:rPr>
                <w:rFonts w:ascii="Arial" w:hAnsi="Arial"/>
                <w:sz w:val="17"/>
              </w:rPr>
              <w:t>Four Sections, unchanged</w:t>
            </w:r>
          </w:p>
        </w:tc>
      </w:tr>
      <w:tr>
        <w:tc>
          <w:tcPr>
            <w:tcW w:type="dxa" w:w="2880"/>
          </w:tcPr>
          <w:p>
            <w:r>
              <w:rPr>
                <w:rFonts w:ascii="Arial" w:hAnsi="Arial"/>
                <w:sz w:val="17"/>
              </w:rPr>
            </w:r>
            <w:r>
              <w:rPr>
                <w:rFonts w:ascii="Arial" w:hAnsi="Arial"/>
                <w:sz w:val="17"/>
              </w:rPr>
              <w:t>8.8</w:t>
            </w:r>
          </w:p>
        </w:tc>
        <w:tc>
          <w:tcPr>
            <w:tcW w:type="dxa" w:w="2880"/>
          </w:tcPr>
          <w:p>
            <w:r>
              <w:rPr>
                <w:rFonts w:ascii="Arial" w:hAnsi="Arial"/>
                <w:sz w:val="17"/>
              </w:rPr>
            </w:r>
            <w:r>
              <w:rPr>
                <w:rFonts w:ascii="Arial" w:hAnsi="Arial"/>
                <w:sz w:val="17"/>
              </w:rPr>
              <w:t>Delay Damages</w:t>
            </w:r>
          </w:p>
        </w:tc>
        <w:tc>
          <w:tcPr>
            <w:tcW w:type="dxa" w:w="2880"/>
          </w:tcPr>
          <w:p>
            <w:r>
              <w:rPr>
                <w:rFonts w:ascii="Arial" w:hAnsi="Arial"/>
                <w:sz w:val="17"/>
              </w:rPr>
            </w:r>
            <w:r>
              <w:rPr>
                <w:rFonts w:ascii="Arial" w:hAnsi="Arial"/>
                <w:sz w:val="17"/>
              </w:rPr>
              <w:t>Per Section, unchanged from Rev A</w:t>
            </w:r>
          </w:p>
        </w:tc>
      </w:tr>
      <w:tr>
        <w:tc>
          <w:tcPr>
            <w:tcW w:type="dxa" w:w="2880"/>
          </w:tcPr>
          <w:p>
            <w:r>
              <w:rPr>
                <w:rFonts w:ascii="Arial" w:hAnsi="Arial"/>
                <w:sz w:val="17"/>
              </w:rPr>
            </w:r>
            <w:r>
              <w:rPr>
                <w:rFonts w:ascii="Arial" w:hAnsi="Arial"/>
                <w:sz w:val="17"/>
              </w:rPr>
              <w:t>8.8 ✎</w:t>
            </w:r>
          </w:p>
        </w:tc>
        <w:tc>
          <w:tcPr>
            <w:tcW w:type="dxa" w:w="2880"/>
          </w:tcPr>
          <w:p>
            <w:r>
              <w:rPr>
                <w:rFonts w:ascii="Arial" w:hAnsi="Arial"/>
                <w:sz w:val="17"/>
              </w:rPr>
            </w:r>
            <w:r>
              <w:rPr>
                <w:rFonts w:ascii="Arial" w:hAnsi="Arial"/>
                <w:sz w:val="17"/>
              </w:rPr>
              <w:t>Maximum Delay Damages</w:t>
            </w:r>
          </w:p>
        </w:tc>
        <w:tc>
          <w:tcPr>
            <w:tcW w:type="dxa" w:w="2880"/>
          </w:tcPr>
          <w:p>
            <w:r>
              <w:rPr>
                <w:rFonts w:ascii="Arial" w:hAnsi="Arial"/>
                <w:sz w:val="17"/>
              </w:rPr>
            </w:r>
            <w:r>
              <w:rPr>
                <w:rFonts w:ascii="Arial" w:hAnsi="Arial"/>
                <w:b/>
                <w:sz w:val="17"/>
              </w:rPr>
              <w:t>10% of the Accepted Contract Amount</w:t>
            </w:r>
          </w:p>
        </w:tc>
      </w:tr>
      <w:tr>
        <w:tc>
          <w:tcPr>
            <w:tcW w:type="dxa" w:w="2880"/>
          </w:tcPr>
          <w:p>
            <w:r>
              <w:rPr>
                <w:rFonts w:ascii="Arial" w:hAnsi="Arial"/>
                <w:sz w:val="17"/>
              </w:rPr>
            </w:r>
            <w:r>
              <w:rPr>
                <w:rFonts w:ascii="Arial" w:hAnsi="Arial"/>
                <w:sz w:val="17"/>
              </w:rPr>
              <w:t>11.1</w:t>
            </w:r>
          </w:p>
        </w:tc>
        <w:tc>
          <w:tcPr>
            <w:tcW w:type="dxa" w:w="2880"/>
          </w:tcPr>
          <w:p>
            <w:r>
              <w:rPr>
                <w:rFonts w:ascii="Arial" w:hAnsi="Arial"/>
                <w:sz w:val="17"/>
              </w:rPr>
            </w:r>
            <w:r>
              <w:rPr>
                <w:rFonts w:ascii="Arial" w:hAnsi="Arial"/>
                <w:sz w:val="17"/>
              </w:rPr>
              <w:t>Defects Notification Period</w:t>
            </w:r>
          </w:p>
        </w:tc>
        <w:tc>
          <w:tcPr>
            <w:tcW w:type="dxa" w:w="2880"/>
          </w:tcPr>
          <w:p>
            <w:r>
              <w:rPr>
                <w:rFonts w:ascii="Arial" w:hAnsi="Arial"/>
                <w:sz w:val="17"/>
              </w:rPr>
            </w:r>
            <w:r>
              <w:rPr>
                <w:rFonts w:ascii="Arial" w:hAnsi="Arial"/>
                <w:sz w:val="17"/>
              </w:rPr>
              <w:t>24 months from the date in the Taking-Over Certificate for the relevant Section</w:t>
            </w:r>
          </w:p>
        </w:tc>
      </w:tr>
      <w:tr>
        <w:tc>
          <w:tcPr>
            <w:tcW w:type="dxa" w:w="2880"/>
          </w:tcPr>
          <w:p>
            <w:r>
              <w:rPr>
                <w:rFonts w:ascii="Arial" w:hAnsi="Arial"/>
                <w:sz w:val="17"/>
              </w:rPr>
            </w:r>
            <w:r>
              <w:rPr>
                <w:rFonts w:ascii="Arial" w:hAnsi="Arial"/>
                <w:sz w:val="17"/>
              </w:rPr>
              <w:t>13.7 ✎</w:t>
            </w:r>
          </w:p>
        </w:tc>
        <w:tc>
          <w:tcPr>
            <w:tcW w:type="dxa" w:w="2880"/>
          </w:tcPr>
          <w:p>
            <w:r>
              <w:rPr>
                <w:rFonts w:ascii="Arial" w:hAnsi="Arial"/>
                <w:sz w:val="17"/>
              </w:rPr>
            </w:r>
            <w:r>
              <w:rPr>
                <w:rFonts w:ascii="Arial" w:hAnsi="Arial"/>
                <w:sz w:val="17"/>
              </w:rPr>
              <w:t>Adjustments for Changes in Cost</w:t>
            </w:r>
          </w:p>
        </w:tc>
        <w:tc>
          <w:tcPr>
            <w:tcW w:type="dxa" w:w="2880"/>
          </w:tcPr>
          <w:p>
            <w:r>
              <w:rPr>
                <w:rFonts w:ascii="Arial" w:hAnsi="Arial"/>
                <w:sz w:val="17"/>
              </w:rPr>
            </w:r>
            <w:r>
              <w:rPr>
                <w:rFonts w:ascii="Arial" w:hAnsi="Arial"/>
                <w:sz w:val="17"/>
              </w:rPr>
              <w:t>Applicable — see SP-10</w:t>
            </w:r>
          </w:p>
        </w:tc>
      </w:tr>
      <w:tr>
        <w:tc>
          <w:tcPr>
            <w:tcW w:type="dxa" w:w="2880"/>
          </w:tcPr>
          <w:p>
            <w:r>
              <w:rPr>
                <w:rFonts w:ascii="Arial" w:hAnsi="Arial"/>
                <w:sz w:val="17"/>
              </w:rPr>
            </w:r>
            <w:r>
              <w:rPr>
                <w:rFonts w:ascii="Arial" w:hAnsi="Arial"/>
                <w:sz w:val="17"/>
              </w:rPr>
              <w:t>14.2 ✎</w:t>
            </w:r>
          </w:p>
        </w:tc>
        <w:tc>
          <w:tcPr>
            <w:tcW w:type="dxa" w:w="2880"/>
          </w:tcPr>
          <w:p>
            <w:r>
              <w:rPr>
                <w:rFonts w:ascii="Arial" w:hAnsi="Arial"/>
                <w:sz w:val="17"/>
              </w:rPr>
            </w:r>
            <w:r>
              <w:rPr>
                <w:rFonts w:ascii="Arial" w:hAnsi="Arial"/>
                <w:sz w:val="17"/>
              </w:rPr>
              <w:t>Advance Payment</w:t>
            </w:r>
          </w:p>
        </w:tc>
        <w:tc>
          <w:tcPr>
            <w:tcW w:type="dxa" w:w="2880"/>
          </w:tcPr>
          <w:p>
            <w:r>
              <w:rPr>
                <w:rFonts w:ascii="Arial" w:hAnsi="Arial"/>
                <w:sz w:val="17"/>
              </w:rPr>
            </w:r>
            <w:r>
              <w:rPr>
                <w:rFonts w:ascii="Arial" w:hAnsi="Arial"/>
                <w:b/>
                <w:sz w:val="17"/>
              </w:rPr>
              <w:t>10% of the Accepted Contract Amount</w:t>
            </w:r>
            <w:r>
              <w:rPr>
                <w:rFonts w:ascii="Arial" w:hAnsi="Arial"/>
                <w:sz w:val="17"/>
              </w:rPr>
              <w:t>, against an advance payment guarantee, repaid by deduction of 12% from each Interim Payment Certificate</w:t>
            </w:r>
          </w:p>
        </w:tc>
      </w:tr>
      <w:tr>
        <w:tc>
          <w:tcPr>
            <w:tcW w:type="dxa" w:w="2880"/>
          </w:tcPr>
          <w:p>
            <w:r>
              <w:rPr>
                <w:rFonts w:ascii="Arial" w:hAnsi="Arial"/>
                <w:sz w:val="17"/>
              </w:rPr>
            </w:r>
            <w:r>
              <w:rPr>
                <w:rFonts w:ascii="Arial" w:hAnsi="Arial"/>
                <w:sz w:val="17"/>
              </w:rPr>
              <w:t>14.3 ✎</w:t>
            </w:r>
          </w:p>
        </w:tc>
        <w:tc>
          <w:tcPr>
            <w:tcW w:type="dxa" w:w="2880"/>
          </w:tcPr>
          <w:p>
            <w:r>
              <w:rPr>
                <w:rFonts w:ascii="Arial" w:hAnsi="Arial"/>
                <w:sz w:val="17"/>
              </w:rPr>
            </w:r>
            <w:r>
              <w:rPr>
                <w:rFonts w:ascii="Arial" w:hAnsi="Arial"/>
                <w:sz w:val="17"/>
              </w:rPr>
              <w:t>Retention</w:t>
            </w:r>
          </w:p>
        </w:tc>
        <w:tc>
          <w:tcPr>
            <w:tcW w:type="dxa" w:w="2880"/>
          </w:tcPr>
          <w:p>
            <w:r>
              <w:rPr>
                <w:rFonts w:ascii="Arial" w:hAnsi="Arial"/>
                <w:sz w:val="17"/>
              </w:rPr>
            </w:r>
            <w:r>
              <w:rPr>
                <w:rFonts w:ascii="Arial" w:hAnsi="Arial"/>
                <w:b/>
                <w:sz w:val="17"/>
              </w:rPr>
              <w:t>5% of each Interim Payment Certificate</w:t>
            </w:r>
            <w:r>
              <w:rPr>
                <w:rFonts w:ascii="Arial" w:hAnsi="Arial"/>
                <w:sz w:val="17"/>
              </w:rPr>
              <w:t>, cash or on-demand bank guarantee at the Contractor's election</w:t>
            </w:r>
          </w:p>
        </w:tc>
      </w:tr>
      <w:tr>
        <w:tc>
          <w:tcPr>
            <w:tcW w:type="dxa" w:w="2880"/>
          </w:tcPr>
          <w:p>
            <w:r>
              <w:rPr>
                <w:rFonts w:ascii="Arial" w:hAnsi="Arial"/>
                <w:sz w:val="17"/>
              </w:rPr>
            </w:r>
            <w:r>
              <w:rPr>
                <w:rFonts w:ascii="Arial" w:hAnsi="Arial"/>
                <w:sz w:val="17"/>
              </w:rPr>
              <w:t>14.3 ✎</w:t>
            </w:r>
          </w:p>
        </w:tc>
        <w:tc>
          <w:tcPr>
            <w:tcW w:type="dxa" w:w="2880"/>
          </w:tcPr>
          <w:p>
            <w:r>
              <w:rPr>
                <w:rFonts w:ascii="Arial" w:hAnsi="Arial"/>
                <w:sz w:val="17"/>
              </w:rPr>
            </w:r>
            <w:r>
              <w:rPr>
                <w:rFonts w:ascii="Arial" w:hAnsi="Arial"/>
                <w:sz w:val="17"/>
              </w:rPr>
              <w:t>Limit of Retention Money</w:t>
            </w:r>
          </w:p>
        </w:tc>
        <w:tc>
          <w:tcPr>
            <w:tcW w:type="dxa" w:w="2880"/>
          </w:tcPr>
          <w:p>
            <w:r>
              <w:rPr>
                <w:rFonts w:ascii="Arial" w:hAnsi="Arial"/>
                <w:sz w:val="17"/>
              </w:rPr>
            </w:r>
            <w:r>
              <w:rPr>
                <w:rFonts w:ascii="Arial" w:hAnsi="Arial"/>
                <w:sz w:val="17"/>
              </w:rPr>
              <w:t>5% of the Accepted Contract Amount</w:t>
            </w:r>
          </w:p>
        </w:tc>
      </w:tr>
      <w:tr>
        <w:tc>
          <w:tcPr>
            <w:tcW w:type="dxa" w:w="2880"/>
          </w:tcPr>
          <w:p>
            <w:r>
              <w:rPr>
                <w:rFonts w:ascii="Arial" w:hAnsi="Arial"/>
                <w:sz w:val="17"/>
              </w:rPr>
            </w:r>
            <w:r>
              <w:rPr>
                <w:rFonts w:ascii="Arial" w:hAnsi="Arial"/>
                <w:sz w:val="17"/>
              </w:rPr>
              <w:t>14.6</w:t>
            </w:r>
          </w:p>
        </w:tc>
        <w:tc>
          <w:tcPr>
            <w:tcW w:type="dxa" w:w="2880"/>
          </w:tcPr>
          <w:p>
            <w:r>
              <w:rPr>
                <w:rFonts w:ascii="Arial" w:hAnsi="Arial"/>
                <w:sz w:val="17"/>
              </w:rPr>
            </w:r>
            <w:r>
              <w:rPr>
                <w:rFonts w:ascii="Arial" w:hAnsi="Arial"/>
                <w:sz w:val="17"/>
              </w:rPr>
              <w:t>Period for the Engineer to issue an Interim Payment Certificate</w:t>
            </w:r>
          </w:p>
        </w:tc>
        <w:tc>
          <w:tcPr>
            <w:tcW w:type="dxa" w:w="2880"/>
          </w:tcPr>
          <w:p>
            <w:r>
              <w:rPr>
                <w:rFonts w:ascii="Arial" w:hAnsi="Arial"/>
                <w:sz w:val="17"/>
              </w:rPr>
            </w:r>
            <w:r>
              <w:rPr>
                <w:rFonts w:ascii="Arial" w:hAnsi="Arial"/>
                <w:sz w:val="17"/>
              </w:rPr>
              <w:t>28 days</w:t>
            </w:r>
          </w:p>
        </w:tc>
      </w:tr>
      <w:tr>
        <w:tc>
          <w:tcPr>
            <w:tcW w:type="dxa" w:w="2880"/>
          </w:tcPr>
          <w:p>
            <w:r>
              <w:rPr>
                <w:rFonts w:ascii="Arial" w:hAnsi="Arial"/>
                <w:sz w:val="17"/>
              </w:rPr>
            </w:r>
            <w:r>
              <w:rPr>
                <w:rFonts w:ascii="Arial" w:hAnsi="Arial"/>
                <w:sz w:val="17"/>
              </w:rPr>
              <w:t>14.7</w:t>
            </w:r>
          </w:p>
        </w:tc>
        <w:tc>
          <w:tcPr>
            <w:tcW w:type="dxa" w:w="2880"/>
          </w:tcPr>
          <w:p>
            <w:r>
              <w:rPr>
                <w:rFonts w:ascii="Arial" w:hAnsi="Arial"/>
                <w:sz w:val="17"/>
              </w:rPr>
            </w:r>
            <w:r>
              <w:rPr>
                <w:rFonts w:ascii="Arial" w:hAnsi="Arial"/>
                <w:sz w:val="17"/>
              </w:rPr>
              <w:t>Period for payment by the Employer</w:t>
            </w:r>
          </w:p>
        </w:tc>
        <w:tc>
          <w:tcPr>
            <w:tcW w:type="dxa" w:w="2880"/>
          </w:tcPr>
          <w:p>
            <w:r>
              <w:rPr>
                <w:rFonts w:ascii="Arial" w:hAnsi="Arial"/>
                <w:sz w:val="17"/>
              </w:rPr>
            </w:r>
            <w:r>
              <w:rPr>
                <w:rFonts w:ascii="Arial" w:hAnsi="Arial"/>
                <w:sz w:val="17"/>
              </w:rPr>
              <w:t>45 days after issue of the Interim Payment Certificate</w:t>
            </w:r>
          </w:p>
        </w:tc>
      </w:tr>
      <w:tr>
        <w:tc>
          <w:tcPr>
            <w:tcW w:type="dxa" w:w="2880"/>
          </w:tcPr>
          <w:p>
            <w:r>
              <w:rPr>
                <w:rFonts w:ascii="Arial" w:hAnsi="Arial"/>
                <w:sz w:val="17"/>
              </w:rPr>
            </w:r>
            <w:r>
              <w:rPr>
                <w:rFonts w:ascii="Arial" w:hAnsi="Arial"/>
                <w:sz w:val="17"/>
              </w:rPr>
              <w:t>14.8</w:t>
            </w:r>
          </w:p>
        </w:tc>
        <w:tc>
          <w:tcPr>
            <w:tcW w:type="dxa" w:w="2880"/>
          </w:tcPr>
          <w:p>
            <w:r>
              <w:rPr>
                <w:rFonts w:ascii="Arial" w:hAnsi="Arial"/>
                <w:sz w:val="17"/>
              </w:rPr>
            </w:r>
            <w:r>
              <w:rPr>
                <w:rFonts w:ascii="Arial" w:hAnsi="Arial"/>
                <w:sz w:val="17"/>
              </w:rPr>
              <w:t>Financing charges on delayed payment</w:t>
            </w:r>
          </w:p>
        </w:tc>
        <w:tc>
          <w:tcPr>
            <w:tcW w:type="dxa" w:w="2880"/>
          </w:tcPr>
          <w:p>
            <w:r>
              <w:rPr>
                <w:rFonts w:ascii="Arial" w:hAnsi="Arial"/>
                <w:sz w:val="17"/>
              </w:rPr>
            </w:r>
            <w:r>
              <w:rPr>
                <w:rFonts w:ascii="Arial" w:hAnsi="Arial"/>
                <w:sz w:val="17"/>
              </w:rPr>
              <w:t>2% per annum above the ECB main refinancing rate</w:t>
            </w:r>
          </w:p>
        </w:tc>
      </w:tr>
      <w:tr>
        <w:tc>
          <w:tcPr>
            <w:tcW w:type="dxa" w:w="2880"/>
          </w:tcPr>
          <w:p>
            <w:r>
              <w:rPr>
                <w:rFonts w:ascii="Arial" w:hAnsi="Arial"/>
                <w:sz w:val="17"/>
              </w:rPr>
            </w:r>
            <w:r>
              <w:rPr>
                <w:rFonts w:ascii="Arial" w:hAnsi="Arial"/>
                <w:sz w:val="17"/>
              </w:rPr>
              <w:t>19.2.3</w:t>
            </w:r>
          </w:p>
        </w:tc>
        <w:tc>
          <w:tcPr>
            <w:tcW w:type="dxa" w:w="2880"/>
          </w:tcPr>
          <w:p>
            <w:r>
              <w:rPr>
                <w:rFonts w:ascii="Arial" w:hAnsi="Arial"/>
                <w:sz w:val="17"/>
              </w:rPr>
            </w:r>
            <w:r>
              <w:rPr>
                <w:rFonts w:ascii="Arial" w:hAnsi="Arial"/>
                <w:sz w:val="17"/>
              </w:rPr>
              <w:t>Professional indemnity insurance</w:t>
            </w:r>
          </w:p>
        </w:tc>
        <w:tc>
          <w:tcPr>
            <w:tcW w:type="dxa" w:w="2880"/>
          </w:tcPr>
          <w:p>
            <w:r>
              <w:rPr>
                <w:rFonts w:ascii="Arial" w:hAnsi="Arial"/>
                <w:sz w:val="17"/>
              </w:rPr>
            </w:r>
            <w:r>
              <w:rPr>
                <w:rFonts w:ascii="Arial" w:hAnsi="Arial"/>
                <w:sz w:val="17"/>
              </w:rPr>
              <w:t>EUR 10,000,000 each and every claim, 6 years after the last Taking-Over Certificate</w:t>
            </w:r>
          </w:p>
        </w:tc>
      </w:tr>
      <w:tr>
        <w:tc>
          <w:tcPr>
            <w:tcW w:type="dxa" w:w="2880"/>
          </w:tcPr>
          <w:p>
            <w:r>
              <w:rPr>
                <w:rFonts w:ascii="Arial" w:hAnsi="Arial"/>
                <w:sz w:val="17"/>
              </w:rPr>
            </w:r>
            <w:r>
              <w:rPr>
                <w:rFonts w:ascii="Arial" w:hAnsi="Arial"/>
                <w:sz w:val="17"/>
              </w:rPr>
              <w:t>19.2.4</w:t>
            </w:r>
          </w:p>
        </w:tc>
        <w:tc>
          <w:tcPr>
            <w:tcW w:type="dxa" w:w="2880"/>
          </w:tcPr>
          <w:p>
            <w:r>
              <w:rPr>
                <w:rFonts w:ascii="Arial" w:hAnsi="Arial"/>
                <w:sz w:val="17"/>
              </w:rPr>
            </w:r>
            <w:r>
              <w:rPr>
                <w:rFonts w:ascii="Arial" w:hAnsi="Arial"/>
                <w:sz w:val="17"/>
              </w:rPr>
              <w:t>Third party liability</w:t>
            </w:r>
          </w:p>
        </w:tc>
        <w:tc>
          <w:tcPr>
            <w:tcW w:type="dxa" w:w="2880"/>
          </w:tcPr>
          <w:p>
            <w:r>
              <w:rPr>
                <w:rFonts w:ascii="Arial" w:hAnsi="Arial"/>
                <w:sz w:val="17"/>
              </w:rPr>
            </w:r>
            <w:r>
              <w:rPr>
                <w:rFonts w:ascii="Arial" w:hAnsi="Arial"/>
                <w:sz w:val="17"/>
              </w:rPr>
              <w:t>EUR 5,000,000 per occurrence, unlimited in the aggregate</w:t>
            </w:r>
          </w:p>
        </w:tc>
      </w:tr>
      <w:tr>
        <w:tc>
          <w:tcPr>
            <w:tcW w:type="dxa" w:w="2880"/>
          </w:tcPr>
          <w:p>
            <w:r>
              <w:rPr>
                <w:rFonts w:ascii="Arial" w:hAnsi="Arial"/>
                <w:sz w:val="17"/>
              </w:rPr>
            </w:r>
            <w:r>
              <w:rPr>
                <w:rFonts w:ascii="Arial" w:hAnsi="Arial"/>
                <w:sz w:val="17"/>
              </w:rPr>
              <w:t>21.6</w:t>
            </w:r>
          </w:p>
        </w:tc>
        <w:tc>
          <w:tcPr>
            <w:tcW w:type="dxa" w:w="2880"/>
          </w:tcPr>
          <w:p>
            <w:r>
              <w:rPr>
                <w:rFonts w:ascii="Arial" w:hAnsi="Arial"/>
                <w:sz w:val="17"/>
              </w:rPr>
            </w:r>
            <w:r>
              <w:rPr>
                <w:rFonts w:ascii="Arial" w:hAnsi="Arial"/>
                <w:sz w:val="17"/>
              </w:rPr>
              <w:t>Arbitration</w:t>
            </w:r>
          </w:p>
        </w:tc>
        <w:tc>
          <w:tcPr>
            <w:tcW w:type="dxa" w:w="2880"/>
          </w:tcPr>
          <w:p>
            <w:r>
              <w:rPr>
                <w:rFonts w:ascii="Arial" w:hAnsi="Arial"/>
                <w:sz w:val="17"/>
              </w:rPr>
            </w:r>
            <w:r>
              <w:rPr>
                <w:rFonts w:ascii="Arial" w:hAnsi="Arial"/>
                <w:sz w:val="17"/>
              </w:rPr>
              <w:t>Finland Chamber of Commerce Rules, seat Helsinki, three arbitrators, English</w:t>
            </w:r>
          </w:p>
        </w:tc>
      </w:tr>
    </w:tbl>
    <w:p/>
    <w:p>
      <w:r>
        <w:t>Sections, Times for Completion and Delay Damages per day are unchanged from Rev A. The provision for cumulative accrual of Delay Damages across concurrently delayed Sections is retained, subject to the 10% aggregate cap.</w:t>
      </w:r>
    </w:p>
    <w:p>
      <w:r>
        <w:rPr>
          <w:color w:val="BBBBBB"/>
        </w:rPr>
        <w:t>____________________________________________________________</w:t>
      </w:r>
    </w:p>
    <w:p>
      <w:pPr>
        <w:pStyle w:val="Heading1"/>
      </w:pPr>
      <w:r>
        <w:t>PART B — SPECIAL PROVISIONS</w:t>
      </w:r>
    </w:p>
    <w:p>
      <w:pPr>
        <w:pStyle w:val="Heading2"/>
      </w:pPr>
      <w:r>
        <w:t>Clause 1 — General Provisions</w:t>
      </w:r>
    </w:p>
    <w:p>
      <w:pPr>
        <w:pStyle w:val="Heading3"/>
      </w:pPr>
      <w:r>
        <w:t>SP-1 — Sub-Clause 1.5 (Priority of Documents)</w:t>
      </w:r>
    </w:p>
    <w:p>
      <w:r>
        <w:t>Unchanged.</w:t>
      </w:r>
    </w:p>
    <w:p>
      <w:pPr>
        <w:pStyle w:val="Heading3"/>
      </w:pPr>
      <w:r>
        <w:t>SP-2 — Sub-Clause 1.9 (Errors in the Employer's Requirements)</w:t>
      </w:r>
    </w:p>
    <w:p>
      <w:r>
        <w:rPr>
          <w:b/>
        </w:rPr>
        <w:t>The deletion in Rev A and Rev B is withdrawn. Sub-Clause 1.9 is reinstated in full</w:t>
      </w:r>
      <w:r>
        <w:t>, unamended.</w:t>
      </w:r>
    </w:p>
    <w:p>
      <w:pPr>
        <w:pStyle w:val="Heading3"/>
      </w:pPr>
      <w:r>
        <w:t>SP-3 — Sub-Clause 1.15 (Limitation of Liability)</w:t>
      </w:r>
    </w:p>
    <w:p>
      <w:r>
        <w:rPr>
          <w:b/>
        </w:rPr>
        <w:t>The deletion in Rev A and Rev B is withdrawn. Sub-Clause 1.15 is reinstated</w:t>
      </w:r>
      <w:r>
        <w:t>, with the cap and carve-outs stated in Part A.</w:t>
      </w:r>
    </w:p>
    <w:p>
      <w:pPr>
        <w:pStyle w:val="Heading2"/>
      </w:pPr>
      <w:r>
        <w:t>Clause 4 — The Contractor</w:t>
      </w:r>
    </w:p>
    <w:p>
      <w:pPr>
        <w:pStyle w:val="Heading3"/>
      </w:pPr>
      <w:r>
        <w:t>SP-4 — Sub-Clause 4.4 (Subcontractors)</w:t>
      </w:r>
    </w:p>
    <w:p>
      <w:r>
        <w:t>The following applies:</w:t>
      </w:r>
    </w:p>
    <w:p>
      <w:pPr>
        <w:pStyle w:val="IntenseQuote"/>
      </w:pPr>
      <w:r>
        <w:t>"(e) Every subcontract shall provide for payment to the Subcontractor no earlier than 30 days after the Subcontractor's valid invoice.  (f) The Contractor shall procure and maintain evidence of each Subcontractor's compliance with the Act on the Contractor's Obligations and Liability when Work is Contracted Out (1233/2006), and shall produce that evidence to the Engineer at intervals not exceeding three months."</w:t>
      </w:r>
    </w:p>
    <w:p>
      <w:pPr>
        <w:pStyle w:val="Heading3"/>
      </w:pPr>
      <w:r>
        <w:t>SP-5 — Sub-Clause 4.12 (Unforeseeable Physical Conditions)</w:t>
      </w:r>
    </w:p>
    <w:p>
      <w:r>
        <w:rPr>
          <w:b/>
        </w:rPr>
        <w:t>Sub-Clause 4.12 is reinstated in full and unamended</w:t>
      </w:r>
      <w:r>
        <w:t>, including Sub-Clauses 4.12.1 to 4.12.5. The deemed-foreseeable wording in Rev B is withdrawn.</w:t>
      </w:r>
    </w:p>
    <w:p>
      <w:pPr>
        <w:pStyle w:val="Heading2"/>
      </w:pPr>
      <w:r>
        <w:t>Clause 5 — Design</w:t>
      </w:r>
    </w:p>
    <w:p>
      <w:pPr>
        <w:pStyle w:val="Heading3"/>
      </w:pPr>
      <w:r>
        <w:t>SP-6 — Sub-Clause 5.1 (General Design Obligations)</w:t>
      </w:r>
    </w:p>
    <w:p>
      <w:r>
        <w:t>The Rev A and Rev B wording is deleted and replaced by the following:</w:t>
      </w:r>
    </w:p>
    <w:p>
      <w:pPr>
        <w:pStyle w:val="IntenseQuote"/>
      </w:pPr>
      <w:r>
        <w:t>"The Contractor shall carry out its design obligations with the reasonable skill, care and diligence to be expected of a professional designer experienced in the design of facilities of a similar nature, scale and complexity. Notwithstanding that standard, the Contractor guarantees that the completed Works will achieve the annualised PUE, the water use effectiveness figure, the facility availability figure and the waste-heat delivery obligation stated in the Employer's Requirements, as demonstrated by the tests specified there."</w:t>
      </w:r>
    </w:p>
    <w:p>
      <w:pPr>
        <w:pStyle w:val="Heading2"/>
      </w:pPr>
      <w:r>
        <w:t>Clause 8 — Commencement, Delays and Suspension</w:t>
      </w:r>
    </w:p>
    <w:p>
      <w:pPr>
        <w:pStyle w:val="Heading3"/>
      </w:pPr>
      <w:r>
        <w:t>SP-7 — Sub-Clause 8.5 (Extension of Time for Completion)</w:t>
      </w:r>
    </w:p>
    <w:p>
      <w:r>
        <w:t>The concurrent delay bar in Rev A and Rev B is deleted. The following applies instead:</w:t>
      </w:r>
    </w:p>
    <w:p>
      <w:pPr>
        <w:pStyle w:val="IntenseQuote"/>
      </w:pPr>
      <w:r>
        <w:t>"Where a delay for which the Contractor is responsible is concurrent with a delay for which the Contractor would otherwise be entitled to an extension of time, the Engineer shall apportion the delay between the concurrent causes on a fair and reasonable basis, having regard to the contemporary records. The Contractor shall be entitled to an extension of time for the apportioned share attributable to the Employer's risk events, and shall not be entitled to Cost for any period of concurrent delay."</w:t>
      </w:r>
    </w:p>
    <w:p>
      <w:pPr>
        <w:pStyle w:val="Heading3"/>
      </w:pPr>
      <w:r>
        <w:t>SP-8 — Sub-Clause 8.8 (Delay Damages)</w:t>
      </w:r>
    </w:p>
    <w:p>
      <w:r>
        <w:t>The following applies:</w:t>
      </w:r>
    </w:p>
    <w:p>
      <w:pPr>
        <w:pStyle w:val="IntenseQuote"/>
      </w:pPr>
      <w:r>
        <w:t>"The Delay Damages stated in Part A are a genuine pre-estimate of the Employer's loss, including its liability for service credits to the Tenant. Delay Damages are the Employer's sole remedy for the Contractor's failure to complete any Section within its Time for Completion."</w:t>
      </w:r>
    </w:p>
    <w:p>
      <w:r>
        <w:t>The final sentence of the Rev A and Rev B wording, which preserved additional damages for the same delay, is deleted.</w:t>
      </w:r>
    </w:p>
    <w:p>
      <w:pPr>
        <w:pStyle w:val="Heading2"/>
      </w:pPr>
      <w:r>
        <w:t>Clause 13 — Variations and Adjustments</w:t>
      </w:r>
    </w:p>
    <w:p>
      <w:pPr>
        <w:pStyle w:val="Heading3"/>
      </w:pPr>
      <w:r>
        <w:t>SP-9 — Sub-Clause 13.3.1 (Variation by Instruction)</w:t>
      </w:r>
    </w:p>
    <w:p>
      <w:r>
        <w:t>The following applies:</w:t>
      </w:r>
    </w:p>
    <w:p>
      <w:pPr>
        <w:pStyle w:val="IntenseQuote"/>
      </w:pPr>
      <w:r>
        <w:t>"The Contractor shall commence execution of any Variation instructed under Sub-Clause 13.3.1 promptly on receipt of the instruction. Where the adjustment to the Contract Price has not been agreed within 28 days of the instruction, the Engineer shall make an interim valuation of the Variation and certify that amount in the next Interim Payment Certificate, without prejudice to the final agreement or determination."</w:t>
      </w:r>
    </w:p>
    <w:p>
      <w:pPr>
        <w:pStyle w:val="Heading3"/>
      </w:pPr>
      <w:r>
        <w:t>SP-10 — Sub-Clause 13.7 (Adjustments for Changes in Cost)</w:t>
      </w:r>
    </w:p>
    <w:p>
      <w:r>
        <w:t>Sub-Clause 13.7 applies, amended as follows:</w:t>
      </w:r>
    </w:p>
    <w:p>
      <w:pPr>
        <w:pStyle w:val="IntenseQuote"/>
      </w:pPr>
      <w:r>
        <w:t>"Adjustment shall be calculated in respect of structural steel, copper, diesel fuel and labour, by reference to the relevant Statistics Finland producer price and labour cost indices. No adjustment shall be payable unless the cumulative movement in the weighted index exceeds 2% from the Base Date, and adjustment shall then be payable on the excess above 2%."</w:t>
      </w:r>
    </w:p>
    <w:p>
      <w:pPr>
        <w:pStyle w:val="Heading2"/>
      </w:pPr>
      <w:r>
        <w:t>Clause 14 — Contract Price and Payment</w:t>
      </w:r>
    </w:p>
    <w:p>
      <w:pPr>
        <w:pStyle w:val="Heading3"/>
      </w:pPr>
      <w:r>
        <w:t>SP-11 — Sub-Clause 14.2 (Advance Payment)</w:t>
      </w:r>
    </w:p>
    <w:p>
      <w:r>
        <w:t>An advance payment of 10% of the Accepted Contract Amount shall be made against an advance payment guarantee, repaid by deduction of 12% from the amount certified in each Interim Payment Certificate.</w:t>
      </w:r>
    </w:p>
    <w:p>
      <w:pPr>
        <w:pStyle w:val="Heading3"/>
      </w:pPr>
      <w:r>
        <w:t>SP-12 — Sub-Clause 14.6 (Issue of IPC)</w:t>
      </w:r>
    </w:p>
    <w:p>
      <w:r>
        <w:t>The Rev B set-off wording is deleted and replaced by the following:</w:t>
      </w:r>
    </w:p>
    <w:p>
      <w:pPr>
        <w:pStyle w:val="IntenseQuote"/>
      </w:pPr>
      <w:r>
        <w:t>"The Employer may deduct from the amount otherwise due under any Interim Payment Certificate any amount of Delay Damages which has actually accrued in respect of a Section whose Time for Completion has passed, and which has been agreed or determined under Sub-Clause 20.2. No deduction may be made in respect of Delay Damages which the Employer anticipates may accrue in the future."</w:t>
      </w:r>
    </w:p>
    <w:p>
      <w:r>
        <w:t>The Rev A provision that no sum is deemed certified by reason of the Engineer's failure to issue a Certificate is retained.</w:t>
      </w:r>
    </w:p>
    <w:p>
      <w:pPr>
        <w:pStyle w:val="Heading3"/>
      </w:pPr>
      <w:r>
        <w:t>SP-13 — Sub-Clause 14.9 (Release of Retention Money)</w:t>
      </w:r>
    </w:p>
    <w:p>
      <w:r>
        <w:t>Sub-Clause 14.9 is deleted and replaced by the following:</w:t>
      </w:r>
    </w:p>
    <w:p>
      <w:pPr>
        <w:pStyle w:val="IntenseQuote"/>
      </w:pPr>
      <w:r>
        <w:t>"One half of the Retention Money shall be certified for payment on the issue of the Taking-Over Certificate for Section 1. The remainder shall be certified on the issue of the Taking-Over Certificate for Section 4. The Contractor may at any time substitute an on-demand bank guarantee for the Retention Money then held."</w:t>
      </w:r>
    </w:p>
    <w:p>
      <w:pPr>
        <w:pStyle w:val="Heading2"/>
      </w:pPr>
      <w:r>
        <w:t>Clause 18 — Exceptional Events</w:t>
      </w:r>
    </w:p>
    <w:p>
      <w:pPr>
        <w:pStyle w:val="Heading3"/>
      </w:pPr>
      <w:r>
        <w:t>SP-14 — Sub-Clause 18.1 (Exceptional Events)</w:t>
      </w:r>
    </w:p>
    <w:p>
      <w:r>
        <w:t xml:space="preserve">The replacement list in Rev A and Rev B is deleted. </w:t>
      </w:r>
      <w:r>
        <w:rPr>
          <w:b/>
        </w:rPr>
        <w:t>Sub-Clause 18.1 is reinstated in full and unamended.</w:t>
      </w:r>
    </w:p>
    <w:p>
      <w:pPr>
        <w:pStyle w:val="Heading2"/>
      </w:pPr>
      <w:r>
        <w:t>Clause 20 — Employer's and Contractor's Claims</w:t>
      </w:r>
    </w:p>
    <w:p>
      <w:pPr>
        <w:pStyle w:val="Heading3"/>
      </w:pPr>
      <w:r>
        <w:t>SP-15 — Sub-Clause 20.2.1 (Notice of Claim)</w:t>
      </w:r>
    </w:p>
    <w:p>
      <w:r>
        <w:t xml:space="preserve">The amendments in Rev A and Rev B are withdrawn. </w:t>
      </w:r>
      <w:r>
        <w:rPr>
          <w:b/>
        </w:rPr>
        <w:t>Sub-Clause 20.2.1 is reinstated in full and unamended</w:t>
      </w:r>
      <w:r>
        <w:t xml:space="preserve">, with the 28-day period, and </w:t>
      </w:r>
      <w:r>
        <w:rPr>
          <w:b/>
        </w:rPr>
        <w:t>Sub-Clause 20.2.2 applies in full</w:t>
      </w:r>
      <w:r>
        <w:t>, including the Engineer's obligation to give notice of any non-compliance and the consequences of failing to do so.</w:t>
      </w:r>
    </w:p>
    <w:p>
      <w:pPr>
        <w:pStyle w:val="Heading2"/>
      </w:pPr>
      <w:r>
        <w:t>Clause 21 — Disputes and Arbitration</w:t>
      </w:r>
    </w:p>
    <w:p>
      <w:pPr>
        <w:pStyle w:val="Heading3"/>
      </w:pPr>
      <w:r>
        <w:t>SP-16 — Sub-Clauses 21.1 to 21.4 (DAAB)</w:t>
      </w:r>
    </w:p>
    <w:p>
      <w:r>
        <w:rPr>
          <w:b/>
        </w:rPr>
        <w:t>Unchanged. Sub-Clauses 21.1 to 21.4 remain deleted in their entirety.</w:t>
      </w:r>
      <w:r>
        <w:t xml:space="preserve"> No Dispute Avoidance/Adjudication Board shall be appointed. Disputes proceed directly to arbitration under Sub-Clause 21.6 as amended.</w:t>
      </w:r>
    </w:p>
    <w:p>
      <w:pPr>
        <w:pStyle w:val="Heading3"/>
      </w:pPr>
      <w:r>
        <w:t>SP-17 — Sub-Clause 21.6 (Arbitration)</w:t>
      </w:r>
    </w:p>
    <w:p>
      <w:r>
        <w:t>Sub-Clause 21.6 is deleted and replaced by the following:</w:t>
      </w:r>
    </w:p>
    <w:p>
      <w:pPr>
        <w:pStyle w:val="IntenseQuote"/>
      </w:pPr>
      <w:r>
        <w:t>"Any dispute arising out of or in connection with the Contract shall be finally settled by arbitration in accordance with the Arbitration Rules of the Finland Chamber of Commerce. The seat of the arbitration shall be Helsinki, Finland. The language of the arbitration shall be English. The number of arbitrators shall be three."</w:t>
      </w:r>
    </w:p>
    <w:p>
      <w:r>
        <w:rPr>
          <w:color w:val="BBBBBB"/>
        </w:rPr>
        <w:t>____________________________________________________________</w:t>
      </w:r>
    </w:p>
    <w:p>
      <w:pPr>
        <w:pStyle w:val="Heading1"/>
      </w:pPr>
      <w:r>
        <w:t>PART B (continued) — ADMINISTRATIVE PROVISIONS</w:t>
      </w:r>
    </w:p>
    <w:p>
      <w:r>
        <w:t>SP-18 (working hours), SP-19 (site security), SP-20 (review periods), SP-21 (progress reports) and SP-22 (taking over and occupancy inspection) are unchanged from Rev A.</w:t>
      </w:r>
    </w:p>
    <w:p>
      <w:r>
        <w:rPr>
          <w:color w:val="BBBBBB"/>
        </w:rPr>
        <w:t>____________________________________________________________</w:t>
      </w:r>
    </w:p>
    <w:p>
      <w:r>
        <w:rPr>
          <w:b/>
        </w:rPr>
        <w:t>End of Particular Conditions — Revision C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