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NORDBUILD OY — SITE LOGISTICS PLAN</w:t>
      </w:r>
    </w:p>
    <w:p>
      <w:pPr>
        <w:pStyle w:val="Heading2"/>
      </w:pPr>
      <w:r>
        <w:t>Company Standard PDC-LOG-001 Rev C</w:t>
      </w:r>
    </w:p>
    <w:p>
      <w:r>
        <w:rPr>
          <w:b/>
        </w:rPr>
        <w:t>Issued by:</w:t>
      </w:r>
      <w:r>
        <w:t xml:space="preserve"> Head of Logistics, Nordbuild Oy</w:t>
      </w:r>
    </w:p>
    <w:p>
      <w:r>
        <w:rPr>
          <w:b/>
        </w:rPr>
        <w:t>Applies to:</w:t>
      </w:r>
      <w:r>
        <w:t xml:space="preserve"> every Nordbuild project over EUR 10 million or 50 operatives at peak</w:t>
      </w:r>
    </w:p>
    <w:p>
      <w:r>
        <w:rPr>
          <w:b/>
        </w:rPr>
        <w:t>Status:</w:t>
      </w:r>
      <w:r>
        <w:t xml:space="preserve"> mandatory. Departures require the Head of Logistics' written agreement.</w:t>
      </w:r>
    </w:p>
    <w:p>
      <w:r>
        <w:t>*SYNTHETIC DEMONSTRATION DATA — NOT A REAL PROJECT*</w:t>
      </w:r>
    </w:p>
    <w:p>
      <w:r>
        <w:rPr>
          <w:color w:val="BBBBBB"/>
        </w:rPr>
        <w:t>____________________________________________________________</w:t>
      </w:r>
    </w:p>
    <w:p>
      <w:pPr>
        <w:pStyle w:val="Heading2"/>
      </w:pPr>
      <w:r>
        <w:t>1. Purpose and status of this document</w:t>
      </w:r>
    </w:p>
    <w:p>
      <w:r>
        <w:t xml:space="preserve">This is the company standard, not a site plan. It sets out what every Nordbuild site logistics plan must contain, the rules it must satisfy, and the numbers to size facilities with. The </w:t>
      </w:r>
      <w:r>
        <w:rPr>
          <w:b/>
        </w:rPr>
        <w:t>site logistics manager</w:t>
      </w:r>
      <w:r>
        <w:t xml:space="preserve"> applies it to their own site and produces the project's own logistics plan.</w:t>
      </w:r>
    </w:p>
    <w:p>
      <w:r>
        <w:t>Where this standard gives a number, use it. Where it gives a rule, satisfy it or record a departure. Where it is silent, the site logistics manager decides and records the reasoning — a decision recorded is acceptable, a decision left implicit is not.</w:t>
      </w:r>
    </w:p>
    <w:p>
      <w:r>
        <w:t>Two things this standard will not do for you. It cannot tell you where anything goes on YOUR site: that comes from the drawings, the programme and the site's own constraints. And it cannot tell you when something has to move: that comes from reading the subcontractors' programmes against each other.</w:t>
      </w:r>
    </w:p>
    <w:p>
      <w:r>
        <w:rPr>
          <w:color w:val="BBBBBB"/>
        </w:rPr>
        <w:t>____________________________________________________________</w:t>
      </w:r>
    </w:p>
    <w:p>
      <w:pPr>
        <w:pStyle w:val="Heading2"/>
      </w:pPr>
      <w:r>
        <w:t>2. Roles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Arial" w:hAnsi="Arial"/>
                <w:b/>
                <w:sz w:val="17"/>
              </w:rPr>
            </w:r>
            <w:r>
              <w:rPr>
                <w:rFonts w:ascii="Arial" w:hAnsi="Arial"/>
                <w:b/>
                <w:sz w:val="17"/>
              </w:rPr>
              <w:t>Role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b/>
                <w:sz w:val="17"/>
              </w:rPr>
            </w:r>
            <w:r>
              <w:rPr>
                <w:rFonts w:ascii="Arial" w:hAnsi="Arial"/>
                <w:b/>
                <w:sz w:val="17"/>
              </w:rPr>
              <w:t>Responsibility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sz w:val="17"/>
              </w:rPr>
              <w:t>Site logistics manager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sz w:val="17"/>
              </w:rPr>
              <w:t>Owns the plan. Issues it monthly. Chairs the weekly logistics meeting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sz w:val="17"/>
              </w:rPr>
              <w:t>Project manager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sz w:val="17"/>
              </w:rPr>
              <w:t>Approves the plan and any departure from this standard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sz w:val="17"/>
              </w:rPr>
              <w:t>HSE manager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sz w:val="17"/>
              </w:rPr>
              <w:t>Approves pedestrian routes, segregation and exclusion zones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sz w:val="17"/>
              </w:rPr>
              <w:t>Subcontractor's site manager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sz w:val="17"/>
              </w:rPr>
              <w:t>Requests storage, books deliveries, keeps their allocated area</w:t>
            </w:r>
          </w:p>
        </w:tc>
      </w:tr>
    </w:tbl>
    <w:p/>
    <w:p>
      <w:r>
        <w:rPr>
          <w:color w:val="BBBBBB"/>
        </w:rPr>
        <w:t>____________________________________________________________</w:t>
      </w:r>
    </w:p>
    <w:p>
      <w:pPr>
        <w:pStyle w:val="Heading2"/>
      </w:pPr>
      <w:r>
        <w:t>3. The deliverable</w:t>
      </w:r>
    </w:p>
    <w:p>
      <w:r>
        <w:t xml:space="preserve">The site logistics plan is a </w:t>
      </w:r>
      <w:r>
        <w:rPr>
          <w:b/>
        </w:rPr>
        <w:t>drawn</w:t>
      </w:r>
      <w:r>
        <w:t xml:space="preserve"> document. Text alone is not a logistics plan — the people who use it are looking for where to put something or where to walk, and they read a drawing.</w:t>
      </w:r>
    </w:p>
    <w:p>
      <w:r>
        <w:t>Minimum content, every issue:</w:t>
      </w:r>
    </w:p>
    <w:p>
      <w:pPr>
        <w:pStyle w:val="ListNumber"/>
      </w:pPr>
      <w:r>
        <w:rPr>
          <w:b/>
        </w:rPr>
        <w:t>One plan per month</w:t>
      </w:r>
      <w:r>
        <w:t xml:space="preserve"> for the full construction period, on the project's</w:t>
      </w:r>
    </w:p>
    <w:p>
      <w:r>
        <w:t xml:space="preserve">   general arrangement or site plan as the base.</w:t>
      </w:r>
    </w:p>
    <w:p>
      <w:pPr>
        <w:pStyle w:val="ListNumber"/>
      </w:pPr>
      <w:r>
        <w:t xml:space="preserve">Every facility in Section 4 shown </w:t>
      </w:r>
      <w:r>
        <w:rPr>
          <w:b/>
        </w:rPr>
        <w:t>to scale, in the correct position</w:t>
      </w:r>
      <w:r>
        <w:t>, with</w:t>
      </w:r>
    </w:p>
    <w:p>
      <w:r>
        <w:t xml:space="preserve">   its area or dimension labelled.</w:t>
      </w:r>
    </w:p>
    <w:p>
      <w:pPr>
        <w:pStyle w:val="ListNumber"/>
      </w:pPr>
      <w:r>
        <w:t xml:space="preserve">A </w:t>
      </w:r>
      <w:r>
        <w:rPr>
          <w:b/>
        </w:rPr>
        <w:t>legend</w:t>
      </w:r>
      <w:r>
        <w:t xml:space="preserve"> identifying each subcontractor by a distinct colour or hatch,</w:t>
      </w:r>
    </w:p>
    <w:p>
      <w:r>
        <w:t xml:space="preserve">   used consistently across all months.</w:t>
      </w:r>
    </w:p>
    <w:p>
      <w:pPr>
        <w:pStyle w:val="ListNumber"/>
      </w:pPr>
      <w:r>
        <w:rPr>
          <w:b/>
        </w:rPr>
        <w:t>Changes from the previous month called out</w:t>
      </w:r>
      <w:r>
        <w:t xml:space="preserve"> — what moves, what appears,</w:t>
      </w:r>
    </w:p>
    <w:p>
      <w:r>
        <w:t xml:space="preserve">   what is removed. A month that is identical to the one before it says so.</w:t>
      </w:r>
    </w:p>
    <w:p>
      <w:pPr>
        <w:pStyle w:val="ListNumber"/>
      </w:pPr>
      <w:r>
        <w:t xml:space="preserve">A </w:t>
      </w:r>
      <w:r>
        <w:rPr>
          <w:b/>
        </w:rPr>
        <w:t>schedule of areas</w:t>
      </w:r>
      <w:r>
        <w:t xml:space="preserve"> listing each allocated facility, its size, its occupant</w:t>
      </w:r>
    </w:p>
    <w:p>
      <w:r>
        <w:t xml:space="preserve">   and the months it exists for.</w:t>
      </w:r>
    </w:p>
    <w:p>
      <w:pPr>
        <w:pStyle w:val="Heading3"/>
      </w:pPr>
      <w:r>
        <w:t>3.1 The base drawing — mark up what was issued</w:t>
      </w:r>
    </w:p>
    <w:p>
      <w:r>
        <w:rPr>
          <w:b/>
        </w:rPr>
        <w:t>Start from the issued drawing and annotate it. Do not redraw the site.</w:t>
      </w:r>
    </w:p>
    <w:p>
      <w:r>
        <w:t>The site plan, the general arrangement and the logistics base plan are controlled documents. They carry the grid, the setting-out dimensions, the title block, the revision and the scale, and every other trade is working to them. A logistics plan drawn on top of the issued sheet stays tied to all of that. A fresh sketch that merely resembles the site is tied to nothing: its dimensions are invented, its scale cannot be trusted, nothing on it can be checked against another drawing, and the first question in the meeting — "is that where the wall actually is?" — has no answer.</w:t>
      </w:r>
    </w:p>
    <w:p>
      <w:r>
        <w:t>So take the issued sheet as the canvas, and put the logistics facilities on top of it. Keep what is already there — the building outlines, the grid, the boundary, the title block. Add only what Section 4 requires.</w:t>
      </w:r>
    </w:p>
    <w:p>
      <w:pPr>
        <w:pStyle w:val="Heading3"/>
      </w:pPr>
      <w:r>
        <w:t>3.2 Sheet layout</w:t>
      </w:r>
    </w:p>
    <w:p>
      <w:r>
        <w:rPr>
          <w:b/>
        </w:rPr>
        <w:t>One month per sheet</w:t>
      </w:r>
      <w:r>
        <w:t>, with the whole site on it, unless there is a reason to do otherwise.</w:t>
      </w:r>
    </w:p>
    <w:p>
      <w:r>
        <w:rPr>
          <w:b/>
        </w:rPr>
        <w:t>Use the whole sheet.</w:t>
      </w:r>
      <w:r>
        <w:t xml:space="preserve"> Every sheet carries, in fixed positions: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Arial" w:hAnsi="Arial"/>
                <w:b/>
                <w:sz w:val="17"/>
              </w:rPr>
            </w:r>
            <w:r>
              <w:rPr>
                <w:rFonts w:ascii="Arial" w:hAnsi="Arial"/>
                <w:b/>
                <w:sz w:val="17"/>
              </w:rPr>
              <w:t>Band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b/>
                <w:sz w:val="17"/>
              </w:rPr>
            </w:r>
            <w:r>
              <w:rPr>
                <w:rFonts w:ascii="Arial" w:hAnsi="Arial"/>
                <w:b/>
                <w:sz w:val="17"/>
              </w:rPr>
              <w:t>Contents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sz w:val="17"/>
              </w:rPr>
              <w:t>Top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sz w:val="17"/>
              </w:rPr>
              <w:t>Month and headcount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sz w:val="17"/>
              </w:rPr>
              <w:t>Middle — the largest band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sz w:val="17"/>
              </w:rPr>
              <w:t>The marked-up drawing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sz w:val="17"/>
              </w:rPr>
              <w:t>Bottom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sz w:val="17"/>
              </w:rPr>
              <w:t>Legend, changes from last month, and the issues list</w:t>
            </w:r>
          </w:p>
        </w:tc>
      </w:tr>
    </w:tbl>
    <w:p/>
    <w:p>
      <w:r>
        <w:rPr>
          <w:b/>
        </w:rPr>
        <w:t>Nothing overlaps the drawing.</w:t>
      </w:r>
      <w:r>
        <w:t xml:space="preserve"> Notes, issue lists and conflict callouts belong in the bottom band with a leader line to the place they refer to — never stacked on top of the plan or on each other. If a label will not fit at the scale drawn, number it and put the text in the bottom band.</w:t>
      </w:r>
    </w:p>
    <w:p>
      <w:r>
        <w:rPr>
          <w:b/>
        </w:rPr>
        <w:t>If the sheet still reads badly</w:t>
      </w:r>
      <w:r>
        <w:t>, the usual cause is a site much longer than it is deep on a sheet that is not. Two remedies are permitted, in this order: put two consecutive months on one sheet, one above the other, so each fills half the height; or, only if that still will not read, split the site along its length and give each part its own sheet. Neither is required. Do not split the site as a first move — a reader wants the whole site in one view.</w:t>
      </w:r>
    </w:p>
    <w:p>
      <w:r>
        <w:rPr>
          <w:b/>
        </w:rPr>
        <w:t>Check it as a reader would.</w:t>
      </w:r>
      <w:r>
        <w:t xml:space="preserve"> Before issuing, render each sheet to an image and look at it. Confirm: no text sits on other text, no band is empty, the plan occupies most of the sheet, and every marked facility sits ON the drawing rather than beside it. A plan that is correct but unreadable has not been issued.</w:t>
      </w:r>
    </w:p>
    <w:p>
      <w:r>
        <w:rPr>
          <w:color w:val="BBBBBB"/>
        </w:rPr>
        <w:t>____________________________________________________________</w:t>
      </w:r>
    </w:p>
    <w:p>
      <w:pPr>
        <w:pStyle w:val="Heading2"/>
      </w:pPr>
      <w:r>
        <w:t>4. Facilities to be planned</w:t>
      </w:r>
    </w:p>
    <w:p>
      <w:r>
        <w:t>Every logistics plan shows all of the following, for every month:</w:t>
      </w:r>
    </w:p>
    <w:p>
      <w:pPr>
        <w:pStyle w:val="Heading3"/>
      </w:pPr>
      <w:r>
        <w:t>4.1 Staff and operative parking</w:t>
      </w:r>
    </w:p>
    <w:p>
      <w:pPr>
        <w:pStyle w:val="Heading3"/>
      </w:pPr>
      <w:r>
        <w:t>4.2 Site accommodation — offices, welfare, canteen</w:t>
      </w:r>
    </w:p>
    <w:p>
      <w:pPr>
        <w:pStyle w:val="Heading3"/>
      </w:pPr>
      <w:r>
        <w:t>4.3 Material storage compounds, allocated by subcontractor</w:t>
      </w:r>
    </w:p>
    <w:p>
      <w:pPr>
        <w:pStyle w:val="Heading3"/>
      </w:pPr>
      <w:r>
        <w:t>4.4 Pedestrian routes and crossing points</w:t>
      </w:r>
    </w:p>
    <w:p>
      <w:pPr>
        <w:pStyle w:val="Heading3"/>
      </w:pPr>
      <w:r>
        <w:t>4.5 Vehicle routes, gates and delivery/turning areas</w:t>
      </w:r>
    </w:p>
    <w:p>
      <w:pPr>
        <w:pStyle w:val="Heading3"/>
      </w:pPr>
      <w:r>
        <w:t>4.6 Craneage positions, radii and exclusion zones</w:t>
      </w:r>
    </w:p>
    <w:p>
      <w:pPr>
        <w:pStyle w:val="Heading3"/>
      </w:pPr>
      <w:r>
        <w:t>4.7 Material lifting points into the structure</w:t>
      </w:r>
    </w:p>
    <w:p>
      <w:r>
        <w:rPr>
          <w:color w:val="BBBBBB"/>
        </w:rPr>
        <w:t>____________________________________________________________</w:t>
      </w:r>
    </w:p>
    <w:p>
      <w:pPr>
        <w:pStyle w:val="Heading2"/>
      </w:pPr>
      <w:r>
        <w:t>5. Parking — sizing rules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Arial" w:hAnsi="Arial"/>
                <w:b/>
                <w:sz w:val="17"/>
              </w:rPr>
            </w:r>
            <w:r>
              <w:rPr>
                <w:rFonts w:ascii="Arial" w:hAnsi="Arial"/>
                <w:b/>
                <w:sz w:val="17"/>
              </w:rPr>
              <w:t>Parameter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b/>
                <w:sz w:val="17"/>
              </w:rPr>
            </w:r>
            <w:r>
              <w:rPr>
                <w:rFonts w:ascii="Arial" w:hAnsi="Arial"/>
                <w:b/>
                <w:sz w:val="17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sz w:val="17"/>
              </w:rPr>
              <w:t>Provision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/>
                <w:sz w:val="17"/>
              </w:rPr>
              <w:t>1 space per 2.5 operatives</w:t>
            </w:r>
            <w:r>
              <w:rPr>
                <w:rFonts w:ascii="Arial" w:hAnsi="Arial"/>
                <w:sz w:val="17"/>
              </w:rPr>
              <w:t xml:space="preserve"> at peak (car-sharing assumed)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sz w:val="17"/>
              </w:rPr>
              <w:t>Standard bay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sz w:val="17"/>
              </w:rPr>
              <w:t>2.5 m × 5.0 m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sz w:val="17"/>
              </w:rPr>
              <w:t>Accessible bays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sz w:val="17"/>
              </w:rPr>
              <w:t>2 per 50 spaces, 3.6 m × 5.0 m, nearest the welfare entrance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sz w:val="17"/>
              </w:rPr>
              <w:t>Aisle width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sz w:val="17"/>
              </w:rPr>
              <w:t>6.0 m two-way, 3.5 m one-way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sz w:val="17"/>
              </w:rPr>
              <w:t>Allowance including circulation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/>
                <w:sz w:val="17"/>
              </w:rPr>
              <w:t>25 m² per space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sz w:val="17"/>
              </w:rPr>
              <w:t>Visitor parking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sz w:val="17"/>
              </w:rPr>
              <w:t>6 spaces minimum, outside the secure line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sz w:val="17"/>
              </w:rPr>
              <w:t>Surface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sz w:val="17"/>
              </w:rPr>
              <w:t>Compacted hardstanding, drained, lit to 20 lux</w:t>
            </w:r>
          </w:p>
        </w:tc>
      </w:tr>
    </w:tbl>
    <w:p/>
    <w:p>
      <w:r>
        <w:t xml:space="preserve">Parking sits </w:t>
      </w:r>
      <w:r>
        <w:rPr>
          <w:b/>
        </w:rPr>
        <w:t>outside the working area</w:t>
      </w:r>
      <w:r>
        <w:t xml:space="preserve"> and connects to welfare by a segregated footpath. Operatives must not cross a vehicle route to reach the welfare block; if the geometry forces a crossing, it is a controlled crossing under 8.3.</w:t>
      </w:r>
    </w:p>
    <w:p>
      <w:r>
        <w:rPr>
          <w:color w:val="BBBBBB"/>
        </w:rPr>
        <w:t>____________________________________________________________</w:t>
      </w:r>
    </w:p>
    <w:p>
      <w:pPr>
        <w:pStyle w:val="Heading2"/>
      </w:pPr>
      <w:r>
        <w:t>6. Site accommodation — sizing rules</w:t>
      </w:r>
    </w:p>
    <w:p>
      <w:r>
        <w:t>Modular units are 12.0 m × 3.0 m (36 m²), stackable two storeys. Sizing at</w:t>
      </w:r>
    </w:p>
    <w:p>
      <w:r>
        <w:rPr>
          <w:b/>
        </w:rPr>
        <w:t>250 operatives and 28 staff</w:t>
      </w:r>
      <w:r>
        <w:t xml:space="preserve"> peak: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Arial" w:hAnsi="Arial"/>
                <w:b/>
                <w:sz w:val="17"/>
              </w:rPr>
            </w:r>
            <w:r>
              <w:rPr>
                <w:rFonts w:ascii="Arial" w:hAnsi="Arial"/>
                <w:b/>
                <w:sz w:val="17"/>
              </w:rPr>
              <w:t>Facility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b/>
                <w:sz w:val="17"/>
              </w:rPr>
            </w:r>
            <w:r>
              <w:rPr>
                <w:rFonts w:ascii="Arial" w:hAnsi="Arial"/>
                <w:b/>
                <w:sz w:val="17"/>
              </w:rPr>
              <w:t>Rule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b/>
                <w:sz w:val="17"/>
              </w:rPr>
            </w:r>
            <w:r>
              <w:rPr>
                <w:rFonts w:ascii="Arial" w:hAnsi="Arial"/>
                <w:b/>
                <w:sz w:val="17"/>
              </w:rPr>
              <w:t>At 250/28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sz w:val="17"/>
              </w:rPr>
              <w:t>Offices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sz w:val="17"/>
              </w:rPr>
              <w:t>8 m² per staff member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sz w:val="17"/>
              </w:rPr>
              <w:t>224 m²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sz w:val="17"/>
              </w:rPr>
              <w:t>Canteen seating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sz w:val="17"/>
              </w:rPr>
              <w:t>50% of peak seated in one sitting, 1.2 m² per seat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sz w:val="17"/>
              </w:rPr>
              <w:t>150 m²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sz w:val="17"/>
              </w:rPr>
              <w:t>Drying and changing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sz w:val="17"/>
              </w:rPr>
              <w:t>0.5 m² per operative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sz w:val="17"/>
              </w:rPr>
              <w:t>125 m²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sz w:val="17"/>
              </w:rPr>
              <w:t>WCs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sz w:val="17"/>
              </w:rPr>
              <w:t>1 per 25 operatives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sz w:val="17"/>
              </w:rPr>
              <w:t>10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sz w:val="17"/>
              </w:rPr>
              <w:t>Wash basins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sz w:val="17"/>
              </w:rPr>
              <w:t>1 per 20 operatives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sz w:val="17"/>
              </w:rPr>
              <w:t>13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sz w:val="17"/>
              </w:rPr>
              <w:t>First aid and meeting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sz w:val="17"/>
              </w:rPr>
              <w:t>40 m² minimum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sz w:val="17"/>
              </w:rPr>
              <w:t>40 m²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/>
                <w:sz w:val="17"/>
              </w:rPr>
              <w:t>Net internal total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17"/>
              </w:rPr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/>
                <w:sz w:val="17"/>
              </w:rPr>
              <w:t>≈ 600 m²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/>
                <w:sz w:val="17"/>
              </w:rPr>
              <w:t>Footprint if stacked two storeys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sz w:val="17"/>
              </w:rPr>
              <w:t>net ÷ 2, plus 25% circulation and stairs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/>
                <w:sz w:val="17"/>
              </w:rPr>
              <w:t>≈ 380 m²</w:t>
            </w:r>
          </w:p>
        </w:tc>
      </w:tr>
    </w:tbl>
    <w:p/>
    <w:p>
      <w:r>
        <w:t xml:space="preserve">Show the accommodation as a </w:t>
      </w:r>
      <w:r>
        <w:rPr>
          <w:b/>
        </w:rPr>
        <w:t>single labelled block</w:t>
      </w:r>
      <w:r>
        <w:t xml:space="preserve"> with its footprint dimensions. The internal layout is the accommodation supplier's design and is not required in this plan.</w:t>
      </w:r>
    </w:p>
    <w:p>
      <w:r>
        <w:t xml:space="preserve">Accommodation must be within </w:t>
      </w:r>
      <w:r>
        <w:rPr>
          <w:b/>
        </w:rPr>
        <w:t>200 m walking distance</w:t>
      </w:r>
      <w:r>
        <w:t xml:space="preserve"> of the working face, or a satellite welfare unit is provided.</w:t>
      </w:r>
    </w:p>
    <w:p>
      <w:r>
        <w:rPr>
          <w:color w:val="BBBBBB"/>
        </w:rPr>
        <w:t>____________________________________________________________</w:t>
      </w:r>
    </w:p>
    <w:p>
      <w:pPr>
        <w:pStyle w:val="Heading2"/>
      </w:pPr>
      <w:r>
        <w:t>7. Storage compounds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Arial" w:hAnsi="Arial"/>
                <w:b/>
                <w:sz w:val="17"/>
              </w:rPr>
            </w:r>
            <w:r>
              <w:rPr>
                <w:rFonts w:ascii="Arial" w:hAnsi="Arial"/>
                <w:b/>
                <w:sz w:val="17"/>
              </w:rPr>
              <w:t>Parameter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b/>
                <w:sz w:val="17"/>
              </w:rPr>
            </w:r>
            <w:r>
              <w:rPr>
                <w:rFonts w:ascii="Arial" w:hAnsi="Arial"/>
                <w:b/>
                <w:sz w:val="17"/>
              </w:rPr>
              <w:t>Rule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sz w:val="17"/>
              </w:rPr>
              <w:t>Allocation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sz w:val="17"/>
              </w:rPr>
              <w:t xml:space="preserve">Each subcontractor gets a </w:t>
            </w:r>
            <w:r>
              <w:rPr>
                <w:rFonts w:ascii="Arial" w:hAnsi="Arial"/>
                <w:b/>
                <w:sz w:val="17"/>
              </w:rPr>
              <w:t>named, bounded</w:t>
            </w:r>
            <w:r>
              <w:rPr>
                <w:rFonts w:ascii="Arial" w:hAnsi="Arial"/>
                <w:sz w:val="17"/>
              </w:rPr>
              <w:t xml:space="preserve"> compound. Shared compounds are not permitted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sz w:val="17"/>
              </w:rPr>
              <w:t>Sizing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sz w:val="17"/>
              </w:rPr>
              <w:t>From the subcontractor's own stated laydown requirement in their baseline programme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sz w:val="17"/>
              </w:rPr>
              <w:t>Surface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sz w:val="17"/>
              </w:rPr>
              <w:t>Hardstanding and drained. Weather-sensitive materials on raised bearers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sz w:val="17"/>
              </w:rPr>
              <w:t>Enclosure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sz w:val="17"/>
              </w:rPr>
              <w:t>Fenced and signed with the subcontractor's name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sz w:val="17"/>
              </w:rPr>
              <w:t>Stack height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sz w:val="17"/>
              </w:rPr>
              <w:t>2.0 m maximum unless racked and designed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sz w:val="17"/>
              </w:rPr>
              <w:t>Separation from the building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sz w:val="17"/>
              </w:rPr>
              <w:t>3.0 m clear where mast-climbers or scaffold are in use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sz w:val="17"/>
              </w:rPr>
              <w:t>Gas cylinders and flammables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/>
                <w:sz w:val="17"/>
              </w:rPr>
              <w:t>Segregated compound</w:t>
            </w:r>
            <w:r>
              <w:rPr>
                <w:rFonts w:ascii="Arial" w:hAnsi="Arial"/>
                <w:sz w:val="17"/>
              </w:rPr>
              <w:t>, 6 m from any other storage, 15 m from hot works, bunded and signed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sz w:val="17"/>
              </w:rPr>
              <w:t>Review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sz w:val="17"/>
              </w:rPr>
              <w:t xml:space="preserve">Re-planned at every milestone that changes demand — in particular at </w:t>
            </w:r>
            <w:r>
              <w:rPr>
                <w:rFonts w:ascii="Arial" w:hAnsi="Arial"/>
                <w:b/>
                <w:sz w:val="17"/>
              </w:rPr>
              <w:t>weathertight</w:t>
            </w:r>
            <w:r>
              <w:rPr>
                <w:rFonts w:ascii="Arial" w:hAnsi="Arial"/>
                <w:sz w:val="17"/>
              </w:rPr>
              <w:t>, when interior packages move their materials inside and their external compound is released</w:t>
            </w:r>
          </w:p>
        </w:tc>
      </w:tr>
    </w:tbl>
    <w:p/>
    <w:p>
      <w:r>
        <w:t>A compound that exists for the whole project is planned once and shown on every month. A compound that moves is shown in both positions in the month it moves, with the move called out.</w:t>
      </w:r>
    </w:p>
    <w:p>
      <w:r>
        <w:rPr>
          <w:color w:val="BBBBBB"/>
        </w:rPr>
        <w:t>____________________________________________________________</w:t>
      </w:r>
    </w:p>
    <w:p>
      <w:pPr>
        <w:pStyle w:val="Heading2"/>
      </w:pPr>
      <w:r>
        <w:t>8. Pedestrian routes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Arial" w:hAnsi="Arial"/>
                <w:b/>
                <w:sz w:val="17"/>
              </w:rPr>
            </w:r>
            <w:r>
              <w:rPr>
                <w:rFonts w:ascii="Arial" w:hAnsi="Arial"/>
                <w:b/>
                <w:sz w:val="17"/>
              </w:rPr>
              <w:t>Parameter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b/>
                <w:sz w:val="17"/>
              </w:rPr>
            </w:r>
            <w:r>
              <w:rPr>
                <w:rFonts w:ascii="Arial" w:hAnsi="Arial"/>
                <w:b/>
                <w:sz w:val="17"/>
              </w:rPr>
              <w:t>Rule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sz w:val="17"/>
              </w:rPr>
              <w:t>Minimum width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sz w:val="17"/>
              </w:rPr>
              <w:t>1.2 m, or 2.0 m where it is the primary route to welfare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sz w:val="17"/>
              </w:rPr>
              <w:t>Segregation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sz w:val="17"/>
              </w:rPr>
              <w:t>Physically separated from vehicle routes by barrier, not by paint alone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sz w:val="17"/>
              </w:rPr>
              <w:t>Surface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sz w:val="17"/>
              </w:rPr>
              <w:t>Firm, drained, free of trip hazards, lit to 20 lux in hours of darkness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sz w:val="17"/>
              </w:rPr>
              <w:t>Crossings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sz w:val="17"/>
              </w:rPr>
              <w:t>Controlled points only, marked, with clear sight lines both ways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sz w:val="17"/>
              </w:rPr>
              <w:t>Under craneage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sz w:val="17"/>
              </w:rPr>
              <w:t>No pedestrian route inside a crane's operating radius unless protected by a designed cover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sz w:val="17"/>
              </w:rPr>
              <w:t>Continuity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sz w:val="17"/>
              </w:rPr>
              <w:t>Every route runs gate → parking → welfare → working face without a break</w:t>
            </w:r>
          </w:p>
        </w:tc>
      </w:tr>
    </w:tbl>
    <w:p/>
    <w:p>
      <w:r>
        <w:t xml:space="preserve">Routes are drawn as a </w:t>
      </w:r>
      <w:r>
        <w:rPr>
          <w:b/>
        </w:rPr>
        <w:t>continuous line</w:t>
      </w:r>
      <w:r>
        <w:t xml:space="preserve"> from end to end. A route drawn only in fragments is not a route.</w:t>
      </w:r>
    </w:p>
    <w:p>
      <w:r>
        <w:rPr>
          <w:color w:val="BBBBBB"/>
        </w:rPr>
        <w:t>____________________________________________________________</w:t>
      </w:r>
    </w:p>
    <w:p>
      <w:pPr>
        <w:pStyle w:val="Heading2"/>
      </w:pPr>
      <w:r>
        <w:t>9. Vehicle routes, gates and deliveries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Arial" w:hAnsi="Arial"/>
                <w:b/>
                <w:sz w:val="17"/>
              </w:rPr>
            </w:r>
            <w:r>
              <w:rPr>
                <w:rFonts w:ascii="Arial" w:hAnsi="Arial"/>
                <w:b/>
                <w:sz w:val="17"/>
              </w:rPr>
              <w:t>Parameter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b/>
                <w:sz w:val="17"/>
              </w:rPr>
            </w:r>
            <w:r>
              <w:rPr>
                <w:rFonts w:ascii="Arial" w:hAnsi="Arial"/>
                <w:b/>
                <w:sz w:val="17"/>
              </w:rPr>
              <w:t>Rule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sz w:val="17"/>
              </w:rPr>
              <w:t>Route direction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sz w:val="17"/>
              </w:rPr>
              <w:t>One-way circulation wherever the geometry allows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sz w:val="17"/>
              </w:rPr>
              <w:t>Carriageway width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sz w:val="17"/>
              </w:rPr>
              <w:t>6.0 m two-way, 3.5 m one-way, 7.5 m at turning and unloading areas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sz w:val="17"/>
              </w:rPr>
              <w:t>Reversing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sz w:val="17"/>
              </w:rPr>
              <w:t>Maximum 15 m, and only with a banksman. Otherwise provide a turning head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sz w:val="17"/>
              </w:rPr>
              <w:t>Turning head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sz w:val="17"/>
              </w:rPr>
              <w:t>25 m diameter, or a designed banked reversing bay for articulated deliveries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sz w:val="17"/>
              </w:rPr>
              <w:t>Delivery booking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sz w:val="17"/>
              </w:rPr>
              <w:t>All deliveries booked through the logistics manager. No unbooked vehicle enters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sz w:val="17"/>
              </w:rPr>
              <w:t>Waiting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sz w:val="17"/>
              </w:rPr>
              <w:t>No queueing on the public highway. Provide a holding area inside the gate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sz w:val="17"/>
              </w:rPr>
              <w:t>Wheel wash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sz w:val="17"/>
              </w:rPr>
              <w:t>At the exit of any earthworks or concrete operation</w:t>
            </w:r>
          </w:p>
        </w:tc>
      </w:tr>
    </w:tbl>
    <w:p/>
    <w:p>
      <w:r>
        <w:t xml:space="preserve">Where the project has </w:t>
      </w:r>
      <w:r>
        <w:rPr>
          <w:b/>
        </w:rPr>
        <w:t>only one gate</w:t>
      </w:r>
      <w:r>
        <w:t>, the plan must show how the peak movements of all concurrent packages pass through it, and say what is done in the months where they conflict.</w:t>
      </w:r>
    </w:p>
    <w:p>
      <w:r>
        <w:rPr>
          <w:color w:val="BBBBBB"/>
        </w:rPr>
        <w:t>____________________________________________________________</w:t>
      </w:r>
    </w:p>
    <w:p>
      <w:pPr>
        <w:pStyle w:val="Heading2"/>
      </w:pPr>
      <w:r>
        <w:t>10. Craneage and lifting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Arial" w:hAnsi="Arial"/>
                <w:b/>
                <w:sz w:val="17"/>
              </w:rPr>
            </w:r>
            <w:r>
              <w:rPr>
                <w:rFonts w:ascii="Arial" w:hAnsi="Arial"/>
                <w:b/>
                <w:sz w:val="17"/>
              </w:rPr>
              <w:t>Parameter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b/>
                <w:sz w:val="17"/>
              </w:rPr>
            </w:r>
            <w:r>
              <w:rPr>
                <w:rFonts w:ascii="Arial" w:hAnsi="Arial"/>
                <w:b/>
                <w:sz w:val="17"/>
              </w:rPr>
              <w:t>Rule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sz w:val="17"/>
              </w:rPr>
              <w:t>Crane position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sz w:val="17"/>
              </w:rPr>
              <w:t xml:space="preserve">Shown with its </w:t>
            </w:r>
            <w:r>
              <w:rPr>
                <w:rFonts w:ascii="Arial" w:hAnsi="Arial"/>
                <w:b/>
                <w:sz w:val="17"/>
              </w:rPr>
              <w:t>operating radius drawn to scale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sz w:val="17"/>
              </w:rPr>
              <w:t>Exclusion zone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sz w:val="17"/>
              </w:rPr>
              <w:t>Radius plus 10%. No accommodation, parking, storage or pedestrian route inside it unless protected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sz w:val="17"/>
              </w:rPr>
              <w:t>Oversail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sz w:val="17"/>
              </w:rPr>
              <w:t>No load carried over an occupied area, a public highway or a neighbouring property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sz w:val="17"/>
              </w:rPr>
              <w:t>Overhead services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sz w:val="17"/>
              </w:rPr>
              <w:t xml:space="preserve">Statutory clearance to any overhead line. Where a lift falls within a network operator's exclusion zone, the plan must record the </w:t>
            </w:r>
            <w:r>
              <w:rPr>
                <w:rFonts w:ascii="Arial" w:hAnsi="Arial"/>
                <w:b/>
                <w:sz w:val="17"/>
              </w:rPr>
              <w:t>written permission required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sz w:val="17"/>
              </w:rPr>
              <w:t>Lifting into the structure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sz w:val="17"/>
              </w:rPr>
              <w:t xml:space="preserve">Every project provides at least one designated </w:t>
            </w:r>
            <w:r>
              <w:rPr>
                <w:rFonts w:ascii="Arial" w:hAnsi="Arial"/>
                <w:b/>
                <w:sz w:val="17"/>
              </w:rPr>
              <w:t>material lifting point</w:t>
            </w:r>
            <w:r>
              <w:rPr>
                <w:rFonts w:ascii="Arial" w:hAnsi="Arial"/>
                <w:sz w:val="17"/>
              </w:rPr>
              <w:t xml:space="preserve"> per building where materials are raised to upper floors or roof — a hardstanding for the lifting appliance, a clear drop zone, and a receiving platform at the level served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sz w:val="17"/>
              </w:rPr>
              <w:t>Availability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sz w:val="17"/>
              </w:rPr>
              <w:t>The lifting point is planned from the month the receiving level exists until the month the last material is lifted, and shown on every plan in between</w:t>
            </w:r>
          </w:p>
        </w:tc>
      </w:tr>
    </w:tbl>
    <w:p/>
    <w:p>
      <w:r>
        <w:rPr>
          <w:color w:val="BBBBBB"/>
        </w:rPr>
        <w:t>____________________________________________________________</w:t>
      </w:r>
    </w:p>
    <w:p>
      <w:pPr>
        <w:pStyle w:val="Heading2"/>
      </w:pPr>
      <w:r>
        <w:t>11. Monthly review</w:t>
      </w:r>
    </w:p>
    <w:p>
      <w:r>
        <w:t>The plan is reissued monthly. It is re-planned, not re-dated: each issue is checked against the current subcontractor programmes and the facilities moved where the work has moved.</w:t>
      </w:r>
    </w:p>
    <w:p>
      <w:r>
        <w:t>Trigger points that always force a re-plan:</w:t>
      </w:r>
    </w:p>
    <w:p>
      <w:pPr>
        <w:pStyle w:val="ListBullet"/>
      </w:pPr>
      <w:r>
        <w:t>A new subcontractor arrives on site</w:t>
      </w:r>
    </w:p>
    <w:p>
      <w:pPr>
        <w:pStyle w:val="ListBullet"/>
      </w:pPr>
      <w:r>
        <w:t xml:space="preserve">A package reaches </w:t>
      </w:r>
      <w:r>
        <w:rPr>
          <w:b/>
        </w:rPr>
        <w:t>weathertight</w:t>
      </w:r>
      <w:r>
        <w:t xml:space="preserve"> in any area</w:t>
      </w:r>
    </w:p>
    <w:p>
      <w:pPr>
        <w:pStyle w:val="ListBullet"/>
      </w:pPr>
      <w:r>
        <w:t>A crane moves, arrives or leaves</w:t>
      </w:r>
    </w:p>
    <w:p>
      <w:pPr>
        <w:pStyle w:val="ListBullet"/>
      </w:pPr>
      <w:r>
        <w:t>The permanent works begin on ground occupied by a temporary facility</w:t>
      </w:r>
    </w:p>
    <w:p>
      <w:pPr>
        <w:pStyle w:val="ListBullet"/>
      </w:pPr>
      <w:r>
        <w:t>Any change to the site access or gate arrangement</w:t>
      </w:r>
    </w:p>
    <w:p>
      <w:r>
        <w:rPr>
          <w:color w:val="BBBBBB"/>
        </w:rPr>
        <w:t>____________________________________________________________</w:t>
      </w:r>
    </w:p>
    <w:p>
      <w:pPr>
        <w:pStyle w:val="Heading2"/>
      </w:pPr>
      <w:r>
        <w:t>12. Departures</w:t>
      </w:r>
    </w:p>
    <w:p>
      <w:r>
        <w:t xml:space="preserve">Departures from this standard are permitted where the site makes compliance impossible. Record the departure, the reason and the mitigation on the plan itself. </w:t>
      </w:r>
      <w:r>
        <w:rPr>
          <w:b/>
        </w:rPr>
        <w:t>An unrecorded departure is a non-conformance.</w:t>
      </w:r>
      <w:r>
        <w:t xml:space="preserve"> A plan that quietly omits a facility it could not place is worse than one that shows the problem.</w:t>
      </w:r>
    </w:p>
    <w:p>
      <w:r>
        <w:rPr>
          <w:color w:val="BBBBBB"/>
        </w:rPr>
        <w:t>____________________________________________________________</w:t>
      </w:r>
    </w:p>
    <w:p>
      <w:r>
        <w:t>*PDC-LOG-001 Rev C · Nordbuild Oy · Head of Logistics*</w:t>
      </w:r>
    </w:p>
    <w:p>
      <w:r>
        <w:t>*SYNTHETIC DEMONSTRATION DATA — NOT A REAL PROJECT*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Georgia" w:hAnsi="Georgi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