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TP-004 ARCHITECTURAL FINISHES &amp; DATA HALL CONTAINMENT</w:t>
      </w:r>
    </w:p>
    <w:p>
      <w:r>
        <w:rPr>
          <w:b/>
        </w:rPr>
        <w:t>From:</w:t>
      </w:r>
      <w:r>
        <w:t xml:space="preserve"> Interia Rakentajat Oy</w:t>
      </w:r>
    </w:p>
    <w:p>
      <w:r>
        <w:rPr>
          <w:b/>
        </w:rPr>
        <w:t>Our reference:</w:t>
      </w:r>
      <w:r>
        <w:t xml:space="preserve"> IR-8830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4,666,200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24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Anti-static sealed screed to data hall floors</w:t>
      </w:r>
    </w:p>
    <w:p>
      <w:pPr>
        <w:pStyle w:val="ListBullet"/>
      </w:pPr>
      <w:r>
        <w:t>Cold-aisle containment framework and blanking (racks and containment doors are supplied by the Tenant)</w:t>
      </w:r>
    </w:p>
    <w:p>
      <w:pPr>
        <w:pStyle w:val="ListBullet"/>
      </w:pPr>
      <w:r>
        <w:t>Internal partitions, linings and fire-rated boarding</w:t>
      </w:r>
    </w:p>
    <w:p>
      <w:pPr>
        <w:pStyle w:val="ListBullet"/>
      </w:pPr>
      <w:r>
        <w:t>Admin/NOC block fit-out</w:t>
      </w:r>
    </w:p>
    <w:p>
      <w:pPr>
        <w:pStyle w:val="ListBullet"/>
      </w:pPr>
      <w:r>
        <w:t>Plant room finishes, signage and hall labelling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containment framework and blanking per ER 1.3</w:t>
      </w:r>
    </w:p>
    <w:p>
      <w:pPr>
        <w:pStyle w:val="ListBullet"/>
      </w:pPr>
      <w:r>
        <w:t>Anti-static screed by specialist applicator, 10-year warranty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Defects period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24 months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Back-to-back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24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Interia Rakentajat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