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TENDER OFFER — TP-005 MECHANICAL — CHILLERS, DRY COOLERS, CRAH &amp; PIPEWORK</w:t>
      </w:r>
    </w:p>
    <w:p>
      <w:r>
        <w:rPr>
          <w:b/>
        </w:rPr>
        <w:t>From:</w:t>
      </w:r>
      <w:r>
        <w:t xml:space="preserve"> Ilmatek LVI Oy</w:t>
      </w:r>
    </w:p>
    <w:p>
      <w:r>
        <w:rPr>
          <w:b/>
        </w:rPr>
        <w:t>Our reference:</w:t>
      </w:r>
      <w:r>
        <w:t xml:space="preserve"> IL-7729</w:t>
      </w:r>
    </w:p>
    <w:p>
      <w:r>
        <w:rPr>
          <w:b/>
        </w:rPr>
        <w:t>To:</w:t>
      </w:r>
      <w:r>
        <w:t xml:space="preserve"> NordBuild Oy</w:t>
      </w:r>
    </w:p>
    <w:p>
      <w:r>
        <w:rPr>
          <w:b/>
        </w:rPr>
        <w:t>Project:</w:t>
      </w:r>
      <w:r>
        <w:t xml:space="preserve"> Polaris DC-1 — Aviapolis Data Campus, Phase 1, Vantaa</w:t>
      </w:r>
    </w:p>
    <w:p>
      <w:r>
        <w:rPr>
          <w:b/>
        </w:rPr>
        <w:t>Date:</w:t>
      </w:r>
      <w:r>
        <w:t xml:space="preserve"> 19 March 2026</w:t>
      </w:r>
    </w:p>
    <w:p>
      <w:r>
        <w:rPr>
          <w:b/>
        </w:rPr>
        <w:t>Validity:</w:t>
      </w:r>
      <w:r>
        <w:t xml:space="preserve"> 90 days</w:t>
      </w:r>
    </w:p>
    <w:p>
      <w:pPr>
        <w:pStyle w:val="IntenseQuote"/>
      </w:pPr>
      <w:r>
        <w:t>Synthetic demonstration data. All parties and values are fictional.</w:t>
      </w:r>
    </w:p>
    <w:p>
      <w:r>
        <w:rPr>
          <w:color w:val="BBBBBB"/>
        </w:rPr>
        <w:t>____________________________________________________________</w:t>
      </w:r>
    </w:p>
    <w:p>
      <w:pPr>
        <w:pStyle w:val="Heading2"/>
      </w:pPr>
      <w:r>
        <w:t>1. OFFER</w:t>
      </w:r>
    </w:p>
    <w:p>
      <w:r>
        <w:t>We are pleased to offer for the above package on the basis of the documents issued with your enquiry.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Tender sum (excluding VAT)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EUR 22,286,880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Currency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EUR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Programme, instruction to completion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48 weeks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Validity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90 days from the date of this offer</w:t>
            </w:r>
          </w:p>
        </w:tc>
      </w:tr>
      <w:tr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Form of subcontract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YSE 1998, subject to section 4 below</w:t>
            </w:r>
          </w:p>
        </w:tc>
      </w:tr>
    </w:tbl>
    <w:p/>
    <w:p>
      <w:pPr>
        <w:pStyle w:val="Heading2"/>
      </w:pPr>
      <w:r>
        <w:t>2. INCLUSIONS</w:t>
      </w:r>
    </w:p>
    <w:p>
      <w:pPr>
        <w:pStyle w:val="ListBullet"/>
      </w:pPr>
      <w:r>
        <w:t>Chillers (4 nr, N+1) and dry coolers / adiabatic units (10 nr)</w:t>
      </w:r>
    </w:p>
    <w:p>
      <w:pPr>
        <w:pStyle w:val="ListBullet"/>
      </w:pPr>
      <w:r>
        <w:t>CRAH units, 7 per hall (N+1)</w:t>
      </w:r>
    </w:p>
    <w:p>
      <w:pPr>
        <w:pStyle w:val="ListBullet"/>
      </w:pPr>
      <w:r>
        <w:t>Chilled water pipework, pumps, buffer vessels and glycol dosing</w:t>
      </w:r>
    </w:p>
    <w:p>
      <w:pPr>
        <w:pStyle w:val="ListBullet"/>
      </w:pPr>
      <w:r>
        <w:t>Waste-heat recovery plant, not less than 4 MW at not less than 70 C flow, to the site boundary chamber</w:t>
      </w:r>
    </w:p>
    <w:p>
      <w:pPr>
        <w:pStyle w:val="ListBullet"/>
      </w:pPr>
      <w:r>
        <w:t>Ventilation, smoke extract and comfort cooling to ancillary areas</w:t>
      </w:r>
    </w:p>
    <w:p>
      <w:pPr>
        <w:pStyle w:val="ListBullet"/>
      </w:pPr>
      <w:r>
        <w:t>Water treatment and adiabatic make-up within WUE &lt;= 0.25 L/kWh</w:t>
      </w:r>
    </w:p>
    <w:p>
      <w:pPr>
        <w:pStyle w:val="ListBullet"/>
      </w:pPr>
      <w:r>
        <w:t>Free cooling not less than 8,300 hours per year</w:t>
      </w:r>
    </w:p>
    <w:p>
      <w:pPr>
        <w:pStyle w:val="ListBullet"/>
      </w:pPr>
      <w:r>
        <w:t>Mechanical commissioning support to L4 and L5</w:t>
      </w:r>
    </w:p>
    <w:p>
      <w:pPr>
        <w:pStyle w:val="Heading2"/>
      </w:pPr>
      <w:r>
        <w:t>3. EXCLUSIONS</w:t>
      </w:r>
    </w:p>
    <w:p>
      <w:r>
        <w:t>None. Our tender sum covers the full scope of the enquiry.</w:t>
      </w:r>
    </w:p>
    <w:p>
      <w:pPr>
        <w:pStyle w:val="Heading2"/>
      </w:pPr>
      <w:r>
        <w:t>4. QUALIFICATIONS</w:t>
      </w:r>
    </w:p>
    <w:p>
      <w:pPr>
        <w:pStyle w:val="ListBullet"/>
      </w:pPr>
      <w:r>
        <w:t>Free cooling 8,420 hours per year modelled on Vantaa climate data, meeting the Employer's Requirements</w:t>
      </w:r>
    </w:p>
    <w:p>
      <w:pPr>
        <w:pStyle w:val="ListBullet"/>
      </w:pPr>
      <w:r>
        <w:t>Includes the 4 MW / 70 C heat recovery plant and the 72-hour witnessed delivery test</w:t>
      </w:r>
    </w:p>
    <w:p>
      <w:pPr>
        <w:pStyle w:val="ListBullet"/>
      </w:pPr>
      <w:r>
        <w:t>Notes the offtaker will only accept the connection in the October-April heating season</w:t>
      </w:r>
    </w:p>
    <w:p>
      <w:pPr>
        <w:pStyle w:val="Heading2"/>
      </w:pPr>
      <w:r>
        <w:t>5. EXCEPTIONS TO THE FLOW-DOWN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Our position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Note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Performance guarantee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PUE and WUE contribution warranted, backed by 5% of subcontract sum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Supports our main contract guarantee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Liability cap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Subcontract sum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Acceptable</w:t>
            </w:r>
          </w:p>
        </w:tc>
      </w:tr>
      <w:tr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Payment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45 days</w:t>
            </w:r>
          </w:p>
        </w:tc>
        <w:tc>
          <w:tcPr>
            <w:tcW w:type="dxa" w:w="2880"/>
          </w:tcPr>
          <w:p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sz w:val="17"/>
              </w:rPr>
              <w:t>Matches our inflow</w:t>
            </w:r>
          </w:p>
        </w:tc>
      </w:tr>
    </w:tbl>
    <w:p/>
    <w:p>
      <w:pPr>
        <w:pStyle w:val="Heading2"/>
      </w:pPr>
      <w:r>
        <w:t>6. PROGRAMME AND LEAD TIMES</w:t>
      </w:r>
    </w:p>
    <w:p>
      <w:r>
        <w:t xml:space="preserve">We require </w:t>
      </w:r>
      <w:r>
        <w:rPr>
          <w:b/>
        </w:rPr>
        <w:t>48 weeks</w:t>
      </w:r>
      <w:r>
        <w:t xml:space="preserve"> from instruction to completion of our works, sequenced to suit your sectional completion dates.</w:t>
      </w:r>
    </w:p>
    <w:p>
      <w:r>
        <w:t>Long-lead items are stated in our qualifications above where relevant.</w:t>
      </w:r>
    </w:p>
    <w:p>
      <w:pPr>
        <w:pStyle w:val="Heading2"/>
      </w:pPr>
      <w:r>
        <w:t>7. SIGNATURE</w:t>
      </w:r>
    </w:p>
    <w:p>
      <w:r>
        <w:t>For and on behalf of Ilmatek LVI Oy</w:t>
      </w:r>
    </w:p>
    <w:p>
      <w:r>
        <w:t>Signed: ..............................  Date: 19 March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