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TENDER OFFER — TP-007 ELV, BMS/DCIM, FIRE DETECTION &amp; SUPPRESSION</w:t>
      </w:r>
    </w:p>
    <w:p>
      <w:r>
        <w:rPr>
          <w:b/>
        </w:rPr>
        <w:t>From:</w:t>
      </w:r>
      <w:r>
        <w:t xml:space="preserve"> Fintronic Systems Oy</w:t>
      </w:r>
    </w:p>
    <w:p>
      <w:r>
        <w:rPr>
          <w:b/>
        </w:rPr>
        <w:t>Our reference:</w:t>
      </w:r>
      <w:r>
        <w:t xml:space="preserve"> FS-2218</w:t>
      </w:r>
    </w:p>
    <w:p>
      <w:r>
        <w:rPr>
          <w:b/>
        </w:rPr>
        <w:t>To:</w:t>
      </w:r>
      <w:r>
        <w:t xml:space="preserve"> NordBuild Oy</w:t>
      </w:r>
    </w:p>
    <w:p>
      <w:r>
        <w:rPr>
          <w:b/>
        </w:rPr>
        <w:t>Project:</w:t>
      </w:r>
      <w:r>
        <w:t xml:space="preserve"> Polaris DC-1 — Aviapolis Data Campus, Phase 1, Vantaa</w:t>
      </w:r>
    </w:p>
    <w:p>
      <w:r>
        <w:rPr>
          <w:b/>
        </w:rPr>
        <w:t>Date:</w:t>
      </w:r>
      <w:r>
        <w:t xml:space="preserve"> 19 March 2026</w:t>
      </w:r>
    </w:p>
    <w:p>
      <w:r>
        <w:rPr>
          <w:b/>
        </w:rPr>
        <w:t>Validity:</w:t>
      </w:r>
      <w:r>
        <w:t xml:space="preserve"> 90 days</w:t>
      </w:r>
    </w:p>
    <w:p>
      <w:pPr>
        <w:pStyle w:val="IntenseQuote"/>
      </w:pPr>
      <w:r>
        <w:t>Synthetic demonstration data. All parties and values are fictional.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1. OFFER</w:t>
      </w:r>
    </w:p>
    <w:p>
      <w:r>
        <w:t>We are pleased to offer for the above package on the basis of the documents issued with your enquiry.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Tender sum (excluding VAT)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EUR 5,183,640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Currency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EUR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Programme, instruction to completion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38 weeks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Validity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90 days from the date of this offer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Form of subcontract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YSE 1998, subject to section 4 below</w:t>
            </w:r>
          </w:p>
        </w:tc>
      </w:tr>
    </w:tbl>
    <w:p/>
    <w:p>
      <w:pPr>
        <w:pStyle w:val="Heading2"/>
      </w:pPr>
      <w:r>
        <w:t>2. INCLUSIONS</w:t>
      </w:r>
    </w:p>
    <w:p>
      <w:pPr>
        <w:pStyle w:val="ListBullet"/>
      </w:pPr>
      <w:r>
        <w:t>Aspirating smoke detection to white space and addressable detection elsewhere</w:t>
      </w:r>
    </w:p>
    <w:p>
      <w:pPr>
        <w:pStyle w:val="ListBullet"/>
      </w:pPr>
      <w:r>
        <w:t>Gaseous or water-mist suppression to the data halls, subject to fire engineering approval by the authority</w:t>
      </w:r>
    </w:p>
    <w:p>
      <w:pPr>
        <w:pStyle w:val="ListBullet"/>
      </w:pPr>
      <w:r>
        <w:t>Sprinklers and dry risers to ancillary areas</w:t>
      </w:r>
    </w:p>
    <w:p>
      <w:pPr>
        <w:pStyle w:val="ListBullet"/>
      </w:pPr>
      <w:r>
        <w:t>BMS with BACnet/IP open protocol and DCIM reporting</w:t>
      </w:r>
    </w:p>
    <w:p>
      <w:pPr>
        <w:pStyle w:val="ListBullet"/>
      </w:pPr>
      <w:r>
        <w:t>Access control (five layers), CCTV with 90-day retention</w:t>
      </w:r>
    </w:p>
    <w:p>
      <w:pPr>
        <w:pStyle w:val="ListBullet"/>
      </w:pPr>
      <w:r>
        <w:t>Structured cabling, meet-me room and containment</w:t>
      </w:r>
    </w:p>
    <w:p>
      <w:pPr>
        <w:pStyle w:val="Heading2"/>
      </w:pPr>
      <w:r>
        <w:t>3. EXCLUSIONS</w:t>
      </w:r>
    </w:p>
    <w:p>
      <w:r>
        <w:t>None. Our tender sum covers the full scope of the enquiry.</w:t>
      </w:r>
    </w:p>
    <w:p>
      <w:pPr>
        <w:pStyle w:val="Heading2"/>
      </w:pPr>
      <w:r>
        <w:t>4. QUALIFICATIONS</w:t>
      </w:r>
    </w:p>
    <w:p>
      <w:pPr>
        <w:pStyle w:val="ListBullet"/>
      </w:pPr>
      <w:r>
        <w:t>Includes inert gas suppression to white space and support for the fire engineering approval submission</w:t>
      </w:r>
    </w:p>
    <w:p>
      <w:pPr>
        <w:pStyle w:val="ListBullet"/>
      </w:pPr>
      <w:r>
        <w:t>BACnet/IP open protocol confirmed; DCIM licences for 24 months of historical trending per the ER</w:t>
      </w:r>
    </w:p>
    <w:p>
      <w:pPr>
        <w:pStyle w:val="Heading2"/>
      </w:pPr>
      <w:r>
        <w:t>5. EXCEPTIONS TO THE FLOW-DOWN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Our position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Payment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30 days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Acceptable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Liability cap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Subcontract sum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Acceptable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Defects period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24 months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Back-to-back</w:t>
            </w:r>
          </w:p>
        </w:tc>
      </w:tr>
    </w:tbl>
    <w:p/>
    <w:p>
      <w:pPr>
        <w:pStyle w:val="Heading2"/>
      </w:pPr>
      <w:r>
        <w:t>6. PROGRAMME AND LEAD TIMES</w:t>
      </w:r>
    </w:p>
    <w:p>
      <w:r>
        <w:t xml:space="preserve">We require </w:t>
      </w:r>
      <w:r>
        <w:rPr>
          <w:b/>
        </w:rPr>
        <w:t>38 weeks</w:t>
      </w:r>
      <w:r>
        <w:t xml:space="preserve"> from instruction to completion of our works, sequenced to suit your sectional completion dates.</w:t>
      </w:r>
    </w:p>
    <w:p>
      <w:r>
        <w:t>Long-lead items are stated in our qualifications above where relevant.</w:t>
      </w:r>
    </w:p>
    <w:p>
      <w:pPr>
        <w:pStyle w:val="Heading2"/>
      </w:pPr>
      <w:r>
        <w:t>7. SIGNATURE</w:t>
      </w:r>
    </w:p>
    <w:p>
      <w:r>
        <w:t>For and on behalf of Fintronic Systems Oy</w:t>
      </w:r>
    </w:p>
    <w:p>
      <w:r>
        <w:t>Signed: ..............................  Date: 19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