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TENDER OFFER — TP-008 EXTERNAL WORKS, SECURITY &amp; FIBRE ENTRY</w:t>
      </w:r>
    </w:p>
    <w:p>
      <w:r>
        <w:rPr>
          <w:b/>
        </w:rPr>
        <w:t>From:</w:t>
      </w:r>
      <w:r>
        <w:t xml:space="preserve"> Infra Yhtiöt Oy</w:t>
      </w:r>
    </w:p>
    <w:p>
      <w:r>
        <w:rPr>
          <w:b/>
        </w:rPr>
        <w:t>Our reference:</w:t>
      </w:r>
      <w:r>
        <w:t xml:space="preserve"> IY-4457</w:t>
      </w:r>
    </w:p>
    <w:p>
      <w:r>
        <w:rPr>
          <w:b/>
        </w:rPr>
        <w:t>To:</w:t>
      </w:r>
      <w:r>
        <w:t xml:space="preserve"> NordBuild Oy</w:t>
      </w:r>
    </w:p>
    <w:p>
      <w:r>
        <w:rPr>
          <w:b/>
        </w:rPr>
        <w:t>Project:</w:t>
      </w:r>
      <w:r>
        <w:t xml:space="preserve"> Polaris DC-1 — Aviapolis Data Campus, Phase 1, Vantaa</w:t>
      </w:r>
    </w:p>
    <w:p>
      <w:r>
        <w:rPr>
          <w:b/>
        </w:rPr>
        <w:t>Date:</w:t>
      </w:r>
      <w:r>
        <w:t xml:space="preserve"> 19 March 2026</w:t>
      </w:r>
    </w:p>
    <w:p>
      <w:r>
        <w:rPr>
          <w:b/>
        </w:rPr>
        <w:t>Validity:</w:t>
      </w:r>
      <w:r>
        <w:t xml:space="preserve"> 90 days</w:t>
      </w:r>
    </w:p>
    <w:p>
      <w:pPr>
        <w:pStyle w:val="IntenseQuote"/>
      </w:pPr>
      <w:r>
        <w:t>Synthetic demonstration data. All parties and values are fictional.</w:t>
      </w:r>
    </w:p>
    <w:p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1. OFFER</w:t>
      </w:r>
    </w:p>
    <w:p>
      <w:r>
        <w:t>We are pleased to offer for the above package on the basis of the documents issued with your enquiry.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Tender sum (excluding VAT)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EUR 3,714,480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Currency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EUR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Programme, instruction to completion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28 weeks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Validity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90 days from the date of this offer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Form of subcontract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YSE 1998, subject to section 4 below</w:t>
            </w:r>
          </w:p>
        </w:tc>
      </w:tr>
    </w:tbl>
    <w:p/>
    <w:p>
      <w:pPr>
        <w:pStyle w:val="Heading2"/>
      </w:pPr>
      <w:r>
        <w:t>2. INCLUSIONS</w:t>
      </w:r>
    </w:p>
    <w:p>
      <w:pPr>
        <w:pStyle w:val="ListBullet"/>
      </w:pPr>
      <w:r>
        <w:t>Roads, hardstanding and service yard</w:t>
      </w:r>
    </w:p>
    <w:p>
      <w:pPr>
        <w:pStyle w:val="ListBullet"/>
      </w:pPr>
      <w:r>
        <w:t>Perimeter fencing, detection and ANPR vehicle gates</w:t>
      </w:r>
    </w:p>
    <w:p>
      <w:pPr>
        <w:pStyle w:val="ListBullet"/>
      </w:pPr>
      <w:r>
        <w:t>Gatehouse fit-out and weighbridge</w:t>
      </w:r>
    </w:p>
    <w:p>
      <w:pPr>
        <w:pStyle w:val="ListBullet"/>
      </w:pPr>
      <w:r>
        <w:t>Stormwater attenuation, oil separators and discharge control</w:t>
      </w:r>
    </w:p>
    <w:p>
      <w:pPr>
        <w:pStyle w:val="ListBullet"/>
      </w:pPr>
      <w:r>
        <w:t>Foul, water and utility connections</w:t>
      </w:r>
    </w:p>
    <w:p>
      <w:pPr>
        <w:pStyle w:val="ListBullet"/>
      </w:pPr>
      <w:r>
        <w:t>Two diverse fibre entry routes and ducts</w:t>
      </w:r>
    </w:p>
    <w:p>
      <w:pPr>
        <w:pStyle w:val="ListBullet"/>
      </w:pPr>
      <w:r>
        <w:t>External lighting, landscaping and tree replacement</w:t>
      </w:r>
    </w:p>
    <w:p>
      <w:pPr>
        <w:pStyle w:val="Heading2"/>
      </w:pPr>
      <w:r>
        <w:t>3. EXCLUSIONS</w:t>
      </w:r>
    </w:p>
    <w:p>
      <w:r>
        <w:t>None. Our tender sum covers the full scope of the enquiry.</w:t>
      </w:r>
    </w:p>
    <w:p>
      <w:pPr>
        <w:pStyle w:val="Heading2"/>
      </w:pPr>
      <w:r>
        <w:t>4. QUALIFICATIONS</w:t>
      </w:r>
    </w:p>
    <w:p>
      <w:pPr>
        <w:pStyle w:val="ListBullet"/>
      </w:pPr>
      <w:r>
        <w:t>Includes landscaping, tree replacement and the two diverse fibre routes with separate duct corridors</w:t>
      </w:r>
    </w:p>
    <w:p>
      <w:pPr>
        <w:pStyle w:val="Heading2"/>
      </w:pPr>
      <w:r>
        <w:t>5. EXCEPTIONS TO THE FLOW-DOWN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Our position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Payment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30 days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Acceptable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Delay damages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Accepted back-to-back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Acceptable</w:t>
            </w:r>
          </w:p>
        </w:tc>
      </w:tr>
    </w:tbl>
    <w:p/>
    <w:p>
      <w:pPr>
        <w:pStyle w:val="Heading2"/>
      </w:pPr>
      <w:r>
        <w:t>6. PROGRAMME AND LEAD TIMES</w:t>
      </w:r>
    </w:p>
    <w:p>
      <w:r>
        <w:t xml:space="preserve">We require </w:t>
      </w:r>
      <w:r>
        <w:rPr>
          <w:b/>
        </w:rPr>
        <w:t>28 weeks</w:t>
      </w:r>
      <w:r>
        <w:t xml:space="preserve"> from instruction to completion of our works, sequenced to suit your sectional completion dates.</w:t>
      </w:r>
    </w:p>
    <w:p>
      <w:r>
        <w:t>Long-lead items are stated in our qualifications above where relevant.</w:t>
      </w:r>
    </w:p>
    <w:p>
      <w:pPr>
        <w:pStyle w:val="Heading2"/>
      </w:pPr>
      <w:r>
        <w:t>7. SIGNATURE</w:t>
      </w:r>
    </w:p>
    <w:p>
      <w:r>
        <w:t>For and on behalf of Infra Yhtiöt Oy</w:t>
      </w:r>
    </w:p>
    <w:p>
      <w:r>
        <w:t>Signed: ..............................  Date: 19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