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POLARIS DC-1 — WASTE-HEAT RECOVERY AND DISTRICT HEATING CONNECTION AGREEMENT</w:t>
      </w:r>
    </w:p>
    <w:p>
      <w:r>
        <w:rPr>
          <w:b/>
        </w:rPr>
        <w:t>Document Ref:</w:t>
      </w:r>
      <w:r>
        <w:t xml:space="preserve"> PDC-DH-001 Rev A</w:t>
      </w:r>
    </w:p>
    <w:p>
      <w:r>
        <w:rPr>
          <w:b/>
        </w:rPr>
        <w:t>Project:</w:t>
      </w:r>
      <w:r>
        <w:t xml:space="preserve"> Polaris DC-1 — Aviapolis Data Campus, Phase 1, Vantaa, Finland</w:t>
      </w:r>
    </w:p>
    <w:p>
      <w:r>
        <w:rPr>
          <w:b/>
        </w:rPr>
        <w:t>Between:</w:t>
      </w:r>
      <w:r>
        <w:t xml:space="preserve"> Polaris Digital Infrastructure Oy ("the Employer")</w:t>
      </w:r>
    </w:p>
    <w:p>
      <w:r>
        <w:rPr>
          <w:b/>
        </w:rPr>
        <w:t>And:</w:t>
      </w:r>
      <w:r>
        <w:t xml:space="preserve"> Vantaan Energia Oy ("the Offtaker")</w:t>
      </w:r>
    </w:p>
    <w:p>
      <w:r>
        <w:rPr>
          <w:b/>
        </w:rPr>
        <w:t>Date:</w:t>
      </w:r>
      <w:r>
        <w:t xml:space="preserve"> 20 November 2025</w:t>
      </w:r>
    </w:p>
    <w:p>
      <w:r>
        <w:rPr>
          <w:b/>
        </w:rPr>
        <w:t>Agreement reference:</w:t>
      </w:r>
      <w:r>
        <w:t xml:space="preserve"> VE-DH-2025-0446</w:t>
      </w:r>
    </w:p>
    <w:p>
      <w:pPr>
        <w:pStyle w:val="IntenseQuote"/>
      </w:pPr>
      <w:r>
        <w:t>Synthetic demonstration data. Vantaan Energia Oy is a real Finnish energy company named only as a generic counterparty. All reference numbers, dates, technical values, pricing terms, officer names and commercial terms below are invented for the purpose of exercising a construction-management evaluation and describe no actual agreement made by that company.</w:t>
      </w:r>
    </w:p>
    <w:p>
      <w:r>
        <w:rPr>
          <w:color w:val="BBBBBB"/>
        </w:rPr>
        <w:t>____________________________________________________________</w:t>
      </w:r>
    </w:p>
    <w:p>
      <w:pPr>
        <w:pStyle w:val="Heading2"/>
      </w:pPr>
      <w:r>
        <w:t>1. PURPOSE AND BACKGROUND</w:t>
      </w:r>
    </w:p>
    <w:p>
      <w:r>
        <w:t>1.1 The Employer is developing a 10 MW data centre at Plot 92-52-7-2, Aviapolis, Vantaa ("the Facility"). The Facility's cooling systems reject a substantial quantity of low-grade waste heat.</w:t>
      </w:r>
    </w:p>
    <w:p>
      <w:r>
        <w:t>1.2 The Offtaker operates the district-heating network serving the Aviapolis and wider Vantaa area. The parties wish to recover waste heat from the Facility and deliver it into the Offtaker's district-heating network, in place of that heat being rejected to atmosphere.</w:t>
      </w:r>
    </w:p>
    <w:p>
      <w:r>
        <w:t>1.3 This Agreement sets out the technical, commercial and programme terms on which the Employer will deliver recovered waste heat to the Offtaker at the Site boundary, and the terms on which the Offtaker will accept, meter and pay for that heat.</w:t>
      </w:r>
    </w:p>
    <w:p>
      <w:r>
        <w:t>1.4 This Agreement covers the interface between the Employer's heat recovery plant and the Offtaker's network only. It does not address any other utility, any main construction contract term, or any subcontract between the Employer's contractor and its suppliers.</w:t>
      </w:r>
    </w:p>
    <w:p>
      <w:r>
        <w:rPr>
          <w:color w:val="BBBBBB"/>
        </w:rPr>
        <w:t>____________________________________________________________</w:t>
      </w:r>
    </w:p>
    <w:p>
      <w:pPr>
        <w:pStyle w:val="Heading2"/>
      </w:pPr>
      <w:r>
        <w:t>2. TECHNICAL REQUIREMENTS</w:t>
      </w:r>
    </w:p>
    <w:p>
      <w:r>
        <w:t>2.1 The Employer shall design, install, commission and operate a waste-heat recovery plant capable of delivering to the delivery point described in Section 3:</w:t>
      </w:r>
    </w:p>
    <w:p>
      <w:pPr>
        <w:pStyle w:val="ListBullet"/>
      </w:pPr>
      <w:r>
        <w:t xml:space="preserve">not less than </w:t>
      </w:r>
      <w:r>
        <w:rPr>
          <w:b/>
        </w:rPr>
        <w:t>4 MW thermal</w:t>
      </w:r>
      <w:r>
        <w:t>, at a flow temperature of not less than</w:t>
      </w:r>
    </w:p>
    <w:p>
      <w:r>
        <w:t xml:space="preserve">  </w:t>
      </w:r>
      <w:r>
        <w:rPr>
          <w:b/>
        </w:rPr>
        <w:t>70 °C</w:t>
      </w:r>
      <w:r>
        <w:t>, and a return temperature to be agreed at detailed design   (indicatively 40 °C);</w:t>
      </w:r>
    </w:p>
    <w:p>
      <w:pPr>
        <w:pStyle w:val="ListBullet"/>
      </w:pPr>
      <w:r>
        <w:t>available whenever the Facility's IT load exceeds **40% of the 10 MW</w:t>
      </w:r>
    </w:p>
    <w:p>
      <w:r>
        <w:t xml:space="preserve">  design load**, on a continuous basis for as long as that load condition   persists.</w:t>
      </w:r>
    </w:p>
    <w:p>
      <w:r>
        <w:t>2.2 The heat recovery plant and its integration with the Facility's cooling systems shall not compromise the cooling redundancy (N+1, concurrently maintainable) or the annualised PUE guarantee given elsewhere in the Employer's Requirements for the Facility. This Agreement does not vary those requirements; it records the Offtaker's reliance on them.</w:t>
      </w:r>
    </w:p>
    <w:p>
      <w:r>
        <w:t>2.3 Water quality, treatment and glycol content (if any) of the heat transfer fluid delivered to the Offtaker's network shall comply with the Offtaker's published district-heating water quality standard (ref. VE-WQ-2023), to be confirmed to the Employer's designer at detailed design.</w:t>
      </w:r>
    </w:p>
    <w:p>
      <w:r>
        <w:t>2.4 The Employer shall provide the Offtaker with as-built heat-plant documentation, control philosophy and cause-and-effect matrices for the heat-delivery interface not later than 8 weeks before the commissioning test described in Section 6.</w:t>
      </w:r>
    </w:p>
    <w:p>
      <w:r>
        <w:rPr>
          <w:color w:val="BBBBBB"/>
        </w:rPr>
        <w:t>____________________________________________________________</w:t>
      </w:r>
    </w:p>
    <w:p>
      <w:pPr>
        <w:pStyle w:val="Heading2"/>
      </w:pPr>
      <w:r>
        <w:t>3. DELIVERY POINT AND SCOPE SPLIT</w:t>
      </w:r>
    </w:p>
    <w:p>
      <w:r>
        <w:t>3.1 The delivery point is a flanged connection at the boundary chamber located at the south-eastern corner of the Site, as shown on the Employer's site services drawings. Ownership and maintenance responsibility transfer at the flange face.</w:t>
      </w:r>
    </w:p>
    <w:p>
      <w:r>
        <w:t>3.2 Scope on either side of the delivery point is divided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Item</w:t>
            </w:r>
          </w:p>
        </w:tc>
        <w:tc>
          <w:tcPr>
            <w:tcW w:type="dxa" w:w="2880"/>
          </w:tcPr>
          <w:p>
            <w:r>
              <w:rPr>
                <w:rFonts w:ascii="Arial" w:hAnsi="Arial"/>
                <w:b/>
                <w:sz w:val="17"/>
              </w:rPr>
            </w:r>
            <w:r>
              <w:rPr>
                <w:rFonts w:ascii="Arial" w:hAnsi="Arial"/>
                <w:b/>
                <w:sz w:val="17"/>
              </w:rPr>
              <w:t>Employer's/Contractor's side</w:t>
            </w:r>
          </w:p>
        </w:tc>
        <w:tc>
          <w:tcPr>
            <w:tcW w:type="dxa" w:w="2880"/>
          </w:tcPr>
          <w:p>
            <w:r>
              <w:rPr>
                <w:rFonts w:ascii="Arial" w:hAnsi="Arial"/>
                <w:b/>
                <w:sz w:val="17"/>
              </w:rPr>
            </w:r>
            <w:r>
              <w:rPr>
                <w:rFonts w:ascii="Arial" w:hAnsi="Arial"/>
                <w:b/>
                <w:sz w:val="17"/>
              </w:rPr>
              <w:t>Offtaker's side</w:t>
            </w:r>
          </w:p>
        </w:tc>
      </w:tr>
      <w:tr>
        <w:tc>
          <w:tcPr>
            <w:tcW w:type="dxa" w:w="2880"/>
          </w:tcPr>
          <w:p>
            <w:r>
              <w:rPr>
                <w:rFonts w:ascii="Arial" w:hAnsi="Arial"/>
                <w:sz w:val="17"/>
              </w:rPr>
            </w:r>
            <w:r>
              <w:rPr>
                <w:rFonts w:ascii="Arial" w:hAnsi="Arial"/>
                <w:sz w:val="17"/>
              </w:rPr>
              <w:t>Heat recovery plant, heat exchangers, pumps within the Facility</w:t>
            </w:r>
          </w:p>
        </w:tc>
        <w:tc>
          <w:tcPr>
            <w:tcW w:type="dxa" w:w="2880"/>
          </w:tcPr>
          <w:p>
            <w:r>
              <w:rPr>
                <w:rFonts w:ascii="Arial" w:hAnsi="Arial"/>
                <w:sz w:val="17"/>
              </w:rPr>
            </w:r>
            <w:r>
              <w:rPr>
                <w:rFonts w:ascii="Arial" w:hAnsi="Arial"/>
                <w:sz w:val="17"/>
              </w:rPr>
              <w:t>✔</w:t>
            </w:r>
          </w:p>
        </w:tc>
        <w:tc>
          <w:tcPr>
            <w:tcW w:type="dxa" w:w="2880"/>
          </w:tcPr>
          <w:p>
            <w:r>
              <w:rPr>
                <w:rFonts w:ascii="Arial" w:hAnsi="Arial"/>
                <w:sz w:val="17"/>
              </w:rPr>
            </w:r>
          </w:p>
        </w:tc>
      </w:tr>
      <w:tr>
        <w:tc>
          <w:tcPr>
            <w:tcW w:type="dxa" w:w="2880"/>
          </w:tcPr>
          <w:p>
            <w:r>
              <w:rPr>
                <w:rFonts w:ascii="Arial" w:hAnsi="Arial"/>
                <w:sz w:val="17"/>
              </w:rPr>
            </w:r>
            <w:r>
              <w:rPr>
                <w:rFonts w:ascii="Arial" w:hAnsi="Arial"/>
                <w:sz w:val="17"/>
              </w:rPr>
              <w:t>Pipework from the Facility plant room to the boundary chamber</w:t>
            </w:r>
          </w:p>
        </w:tc>
        <w:tc>
          <w:tcPr>
            <w:tcW w:type="dxa" w:w="2880"/>
          </w:tcPr>
          <w:p>
            <w:r>
              <w:rPr>
                <w:rFonts w:ascii="Arial" w:hAnsi="Arial"/>
                <w:sz w:val="17"/>
              </w:rPr>
            </w:r>
            <w:r>
              <w:rPr>
                <w:rFonts w:ascii="Arial" w:hAnsi="Arial"/>
                <w:sz w:val="17"/>
              </w:rPr>
              <w:t>✔</w:t>
            </w:r>
          </w:p>
        </w:tc>
        <w:tc>
          <w:tcPr>
            <w:tcW w:type="dxa" w:w="2880"/>
          </w:tcPr>
          <w:p>
            <w:r>
              <w:rPr>
                <w:rFonts w:ascii="Arial" w:hAnsi="Arial"/>
                <w:sz w:val="17"/>
              </w:rPr>
            </w:r>
          </w:p>
        </w:tc>
      </w:tr>
      <w:tr>
        <w:tc>
          <w:tcPr>
            <w:tcW w:type="dxa" w:w="2880"/>
          </w:tcPr>
          <w:p>
            <w:r>
              <w:rPr>
                <w:rFonts w:ascii="Arial" w:hAnsi="Arial"/>
                <w:sz w:val="17"/>
              </w:rPr>
            </w:r>
            <w:r>
              <w:rPr>
                <w:rFonts w:ascii="Arial" w:hAnsi="Arial"/>
                <w:sz w:val="17"/>
              </w:rPr>
              <w:t>Boundary chamber civil works and flanged connection</w:t>
            </w:r>
          </w:p>
        </w:tc>
        <w:tc>
          <w:tcPr>
            <w:tcW w:type="dxa" w:w="2880"/>
          </w:tcPr>
          <w:p>
            <w:r>
              <w:rPr>
                <w:rFonts w:ascii="Arial" w:hAnsi="Arial"/>
                <w:sz w:val="17"/>
              </w:rPr>
            </w:r>
            <w:r>
              <w:rPr>
                <w:rFonts w:ascii="Arial" w:hAnsi="Arial"/>
                <w:sz w:val="17"/>
              </w:rPr>
              <w:t>✔</w:t>
            </w:r>
          </w:p>
        </w:tc>
        <w:tc>
          <w:tcPr>
            <w:tcW w:type="dxa" w:w="2880"/>
          </w:tcPr>
          <w:p>
            <w:r>
              <w:rPr>
                <w:rFonts w:ascii="Arial" w:hAnsi="Arial"/>
                <w:sz w:val="17"/>
              </w:rPr>
            </w:r>
          </w:p>
        </w:tc>
      </w:tr>
      <w:tr>
        <w:tc>
          <w:tcPr>
            <w:tcW w:type="dxa" w:w="2880"/>
          </w:tcPr>
          <w:p>
            <w:r>
              <w:rPr>
                <w:rFonts w:ascii="Arial" w:hAnsi="Arial"/>
                <w:sz w:val="17"/>
              </w:rPr>
            </w:r>
            <w:r>
              <w:rPr>
                <w:rFonts w:ascii="Arial" w:hAnsi="Arial"/>
                <w:sz w:val="17"/>
              </w:rPr>
              <w:t>Isolation valves at the flange</w:t>
            </w:r>
          </w:p>
        </w:tc>
        <w:tc>
          <w:tcPr>
            <w:tcW w:type="dxa" w:w="2880"/>
          </w:tcPr>
          <w:p>
            <w:r>
              <w:rPr>
                <w:rFonts w:ascii="Arial" w:hAnsi="Arial"/>
                <w:sz w:val="17"/>
              </w:rPr>
            </w:r>
            <w:r>
              <w:rPr>
                <w:rFonts w:ascii="Arial" w:hAnsi="Arial"/>
                <w:sz w:val="17"/>
              </w:rPr>
              <w:t>✔ (Facility side)</w:t>
            </w:r>
          </w:p>
        </w:tc>
        <w:tc>
          <w:tcPr>
            <w:tcW w:type="dxa" w:w="2880"/>
          </w:tcPr>
          <w:p>
            <w:r>
              <w:rPr>
                <w:rFonts w:ascii="Arial" w:hAnsi="Arial"/>
                <w:sz w:val="17"/>
              </w:rPr>
            </w:r>
            <w:r>
              <w:rPr>
                <w:rFonts w:ascii="Arial" w:hAnsi="Arial"/>
                <w:sz w:val="17"/>
              </w:rPr>
              <w:t>✔ (network side)</w:t>
            </w:r>
          </w:p>
        </w:tc>
      </w:tr>
      <w:tr>
        <w:tc>
          <w:tcPr>
            <w:tcW w:type="dxa" w:w="2880"/>
          </w:tcPr>
          <w:p>
            <w:r>
              <w:rPr>
                <w:rFonts w:ascii="Arial" w:hAnsi="Arial"/>
                <w:sz w:val="17"/>
              </w:rPr>
            </w:r>
            <w:r>
              <w:rPr>
                <w:rFonts w:ascii="Arial" w:hAnsi="Arial"/>
                <w:sz w:val="17"/>
              </w:rPr>
              <w:t>Heat metering skid at the boundary chamber</w:t>
            </w:r>
          </w:p>
        </w:tc>
        <w:tc>
          <w:tcPr>
            <w:tcW w:type="dxa" w:w="2880"/>
          </w:tcPr>
          <w:p>
            <w:r>
              <w:rPr>
                <w:rFonts w:ascii="Arial" w:hAnsi="Arial"/>
                <w:sz w:val="17"/>
              </w:rPr>
            </w:r>
            <w:r>
              <w:rPr>
                <w:rFonts w:ascii="Arial" w:hAnsi="Arial"/>
                <w:sz w:val="17"/>
              </w:rPr>
              <w:t>✔ (supply and install, per Section 4)</w:t>
            </w:r>
          </w:p>
        </w:tc>
        <w:tc>
          <w:tcPr>
            <w:tcW w:type="dxa" w:w="2880"/>
          </w:tcPr>
          <w:p>
            <w:r>
              <w:rPr>
                <w:rFonts w:ascii="Arial" w:hAnsi="Arial"/>
                <w:sz w:val="17"/>
              </w:rPr>
            </w:r>
          </w:p>
        </w:tc>
      </w:tr>
      <w:tr>
        <w:tc>
          <w:tcPr>
            <w:tcW w:type="dxa" w:w="2880"/>
          </w:tcPr>
          <w:p>
            <w:r>
              <w:rPr>
                <w:rFonts w:ascii="Arial" w:hAnsi="Arial"/>
                <w:sz w:val="17"/>
              </w:rPr>
            </w:r>
            <w:r>
              <w:rPr>
                <w:rFonts w:ascii="Arial" w:hAnsi="Arial"/>
                <w:sz w:val="17"/>
              </w:rPr>
              <w:t>District-heating network pipework beyond the boundary chamber</w:t>
            </w:r>
          </w:p>
        </w:tc>
        <w:tc>
          <w:tcPr>
            <w:tcW w:type="dxa" w:w="2880"/>
          </w:tcPr>
          <w:p>
            <w:r>
              <w:rPr>
                <w:rFonts w:ascii="Arial" w:hAnsi="Arial"/>
                <w:sz w:val="17"/>
              </w:rPr>
            </w:r>
          </w:p>
        </w:tc>
        <w:tc>
          <w:tcPr>
            <w:tcW w:type="dxa" w:w="2880"/>
          </w:tcPr>
          <w:p>
            <w:r>
              <w:rPr>
                <w:rFonts w:ascii="Arial" w:hAnsi="Arial"/>
                <w:sz w:val="17"/>
              </w:rPr>
            </w:r>
            <w:r>
              <w:rPr>
                <w:rFonts w:ascii="Arial" w:hAnsi="Arial"/>
                <w:sz w:val="17"/>
              </w:rPr>
              <w:t>✔</w:t>
            </w:r>
          </w:p>
        </w:tc>
      </w:tr>
      <w:tr>
        <w:tc>
          <w:tcPr>
            <w:tcW w:type="dxa" w:w="2880"/>
          </w:tcPr>
          <w:p>
            <w:r>
              <w:rPr>
                <w:rFonts w:ascii="Arial" w:hAnsi="Arial"/>
                <w:sz w:val="17"/>
              </w:rPr>
            </w:r>
            <w:r>
              <w:rPr>
                <w:rFonts w:ascii="Arial" w:hAnsi="Arial"/>
                <w:sz w:val="17"/>
              </w:rPr>
              <w:t>Connection of the boundary chamber into the network, including any network reinforcement</w:t>
            </w:r>
          </w:p>
        </w:tc>
        <w:tc>
          <w:tcPr>
            <w:tcW w:type="dxa" w:w="2880"/>
          </w:tcPr>
          <w:p>
            <w:r>
              <w:rPr>
                <w:rFonts w:ascii="Arial" w:hAnsi="Arial"/>
                <w:sz w:val="17"/>
              </w:rPr>
            </w:r>
          </w:p>
        </w:tc>
        <w:tc>
          <w:tcPr>
            <w:tcW w:type="dxa" w:w="2880"/>
          </w:tcPr>
          <w:p>
            <w:r>
              <w:rPr>
                <w:rFonts w:ascii="Arial" w:hAnsi="Arial"/>
                <w:sz w:val="17"/>
              </w:rPr>
            </w:r>
            <w:r>
              <w:rPr>
                <w:rFonts w:ascii="Arial" w:hAnsi="Arial"/>
                <w:sz w:val="17"/>
              </w:rPr>
              <w:t>✔</w:t>
            </w:r>
          </w:p>
        </w:tc>
      </w:tr>
      <w:tr>
        <w:tc>
          <w:tcPr>
            <w:tcW w:type="dxa" w:w="2880"/>
          </w:tcPr>
          <w:p>
            <w:r>
              <w:rPr>
                <w:rFonts w:ascii="Arial" w:hAnsi="Arial"/>
                <w:sz w:val="17"/>
              </w:rPr>
            </w:r>
            <w:r>
              <w:rPr>
                <w:rFonts w:ascii="Arial" w:hAnsi="Arial"/>
                <w:sz w:val="17"/>
              </w:rPr>
              <w:t>Network-side isolation and pressure management</w:t>
            </w:r>
          </w:p>
        </w:tc>
        <w:tc>
          <w:tcPr>
            <w:tcW w:type="dxa" w:w="2880"/>
          </w:tcPr>
          <w:p>
            <w:r>
              <w:rPr>
                <w:rFonts w:ascii="Arial" w:hAnsi="Arial"/>
                <w:sz w:val="17"/>
              </w:rPr>
            </w:r>
          </w:p>
        </w:tc>
        <w:tc>
          <w:tcPr>
            <w:tcW w:type="dxa" w:w="2880"/>
          </w:tcPr>
          <w:p>
            <w:r>
              <w:rPr>
                <w:rFonts w:ascii="Arial" w:hAnsi="Arial"/>
                <w:sz w:val="17"/>
              </w:rPr>
            </w:r>
            <w:r>
              <w:rPr>
                <w:rFonts w:ascii="Arial" w:hAnsi="Arial"/>
                <w:sz w:val="17"/>
              </w:rPr>
              <w:t>✔</w:t>
            </w:r>
          </w:p>
        </w:tc>
      </w:tr>
    </w:tbl>
    <w:p/>
    <w:p>
      <w:r>
        <w:t>3.3 The Employer is responsible for all works up to and including the flange face and the metering skid. The Offtaker is responsible for all works from the flange face into its network, including any reinforcement of its own distribution network required to accept the delivered heat.</w:t>
      </w:r>
    </w:p>
    <w:p>
      <w:r>
        <w:rPr>
          <w:color w:val="BBBBBB"/>
        </w:rPr>
        <w:t>____________________________________________________________</w:t>
      </w:r>
    </w:p>
    <w:p>
      <w:pPr>
        <w:pStyle w:val="Heading2"/>
      </w:pPr>
      <w:r>
        <w:t>4. METERING AND PRICING</w:t>
      </w:r>
    </w:p>
    <w:p>
      <w:r>
        <w:t>4.1 Heat delivered shall be measured by a calibrated heat meter installed by the Employer at the boundary chamber, to a specification and accuracy class agreed with the Offtaker, with remote read-out to the Offtaker's billing system. The meter shall be tested and calibrated jointly by both parties before first use and thereafter at intervals of not more than 24 months.</w:t>
      </w:r>
    </w:p>
    <w:p>
      <w:r>
        <w:t>4.2 The Offtaker shall pay the Employer for heat delivered at the delivery point, calculated as:</w:t>
      </w:r>
    </w:p>
    <w:p>
      <w:pPr>
        <w:pStyle w:val="IntenseQuote"/>
      </w:pPr>
      <w:r>
        <w:rPr>
          <w:b/>
        </w:rPr>
        <w:t>Payment (EUR) = Metered heat delivered (MWh) × Base Rate × Index Factor</w:t>
      </w:r>
    </w:p>
    <w:p>
      <w:r>
        <w:t xml:space="preserve">where the Base Rate is </w:t>
      </w:r>
      <w:r>
        <w:rPr>
          <w:b/>
        </w:rPr>
        <w:t>EUR 28.50 per MWh thermal</w:t>
      </w:r>
      <w:r>
        <w:t xml:space="preserve"> (2025 price basis) and the Index Factor is the ratio of the Statistics Finland district-heating producer price index for the invoice quarter to that index at the date of this Agreement, reviewed and applied quarterly.</w:t>
      </w:r>
    </w:p>
    <w:p>
      <w:r>
        <w:t>4.3 No payment is due for heat that the Employer is unable to deliver due to Facility shutdown, maintenance, or IT load below the 40% threshold in Section 2.1; equally, no penalty applies to the Employer for non-delivery in those circumstances, subject to Section 5.</w:t>
      </w:r>
    </w:p>
    <w:p>
      <w:r>
        <w:t>4.4 Invoices shall be issued monthly by the Employer based on metered delivery, payable by the Offtaker within 30 days of invoice.</w:t>
      </w:r>
    </w:p>
    <w:p>
      <w:r>
        <w:rPr>
          <w:color w:val="BBBBBB"/>
        </w:rPr>
        <w:t>____________________________________________________________</w:t>
      </w:r>
    </w:p>
    <w:p>
      <w:pPr>
        <w:pStyle w:val="Heading2"/>
      </w:pPr>
      <w:r>
        <w:t>5. AVAILABILITY OBLIGATIONS</w:t>
      </w:r>
    </w:p>
    <w:p>
      <w:r>
        <w:t>5.1 The Employer shall use reasonable endeavours to make heat available in accordance with Section 2.1 whenever the qualifying load condition is met, and shall notify the Offtaker with not less than 10 working days' notice of any planned outage of the heat recovery plant exceeding 24 hours.</w:t>
      </w:r>
    </w:p>
    <w:p>
      <w:r>
        <w:t>5.2 In the event of an unplanned outage of the heat recovery plant exceeding 72 hours, the Employer shall notify the Offtaker within 24 hours of the outage arising and provide a good-faith estimate of the restoration date.</w:t>
      </w:r>
    </w:p>
    <w:p>
      <w:r>
        <w:t>5.3 The Offtaker shall maintain network capacity to accept the heat volumes contemplated by Section 2.1 whenever its network is technically able to do so, subject to the seasonal constraint in Section 6.3.</w:t>
      </w:r>
    </w:p>
    <w:p>
      <w:r>
        <w:rPr>
          <w:color w:val="BBBBBB"/>
        </w:rPr>
        <w:t>____________________________________________________________</w:t>
      </w:r>
    </w:p>
    <w:p>
      <w:pPr>
        <w:pStyle w:val="Heading2"/>
      </w:pPr>
      <w:r>
        <w:t>6. COMMISSIONING</w:t>
      </w:r>
    </w:p>
    <w:p>
      <w:r>
        <w:t xml:space="preserve">6.1 Before the Offtaker will accept heat on a permanent basis, the Employer shall demonstrate a </w:t>
      </w:r>
      <w:r>
        <w:rPr>
          <w:b/>
        </w:rPr>
        <w:t>72-hour continuous heat-delivery test</w:t>
      </w:r>
      <w:r>
        <w:t>, witnessed by the Offtaker, during which the heat recovery plant shall deliver not less than 4 MW thermal at not less than 70 °C flow temperature continuously, without interruption attributable to the Facility's plant.</w:t>
      </w:r>
    </w:p>
    <w:p>
      <w:r>
        <w:t>6.2 The Employer shall give the Offtaker not less than 20 working days' notice of the proposed date for the test in 6.1, to allow the Offtaker to resource witnessing and to confirm network readiness to accept the test load.</w:t>
      </w:r>
    </w:p>
    <w:p>
      <w:r>
        <w:t xml:space="preserve">6.3 </w:t>
      </w:r>
      <w:r>
        <w:rPr>
          <w:b/>
        </w:rPr>
        <w:t>The Offtaker's network can only accept the connection, including the commissioning test in 6.1, during the heating season, October to April inclusive.</w:t>
      </w:r>
      <w:r>
        <w:t xml:space="preserve"> Outside this period the Offtaker's network does not have the thermal demand or hydraulic capacity to absorb the delivered heat, and the Offtaker shall not be obliged to accept delivery or to witness the commissioning test. The Employer should programme completion of its heat recovery plant and the commissioning test to fall within a heating season window; a test proposed outside October–April will be deferred to the next available heating season by the Offtaker.</w:t>
      </w:r>
    </w:p>
    <w:p>
      <w:r>
        <w:rPr>
          <w:color w:val="BBBBBB"/>
        </w:rPr>
        <w:t>____________________________________________________________</w:t>
      </w:r>
    </w:p>
    <w:p>
      <w:pPr>
        <w:pStyle w:val="Heading2"/>
      </w:pPr>
      <w:r>
        <w:t>7. INTERFACE OBLIGATIONS AND NOTICE OF DELAY</w:t>
      </w:r>
    </w:p>
    <w:p>
      <w:r>
        <w:t>7.1 The Offtaker shall complete its boundary-side works, including reinforcement of its network as necessary to accept the delivered heat, by</w:t>
      </w:r>
    </w:p>
    <w:p>
      <w:r>
        <w:rPr>
          <w:b/>
        </w:rPr>
        <w:t>31 August 2027</w:t>
      </w:r>
      <w:r>
        <w:t>, being the date required to allow the commissioning test under Section 6 to be carried out within the October 2027–April 2028 heating season window.</w:t>
      </w:r>
    </w:p>
    <w:p>
      <w:r>
        <w:t xml:space="preserve">7.2 If the Employer's works to the delivery point are running such that the boundary chamber and metering skid will not be ready to permit the Offtaker's connection works to proceed by </w:t>
      </w:r>
      <w:r>
        <w:rPr>
          <w:b/>
        </w:rPr>
        <w:t>1 July 2027</w:t>
      </w:r>
      <w:r>
        <w:t>, the Employer shall give the Offtaker written notice as soon as the delay becomes apparent and in any event not later than that date, stating the revised date on which the Employer's works will be ready. The Offtaker's obligation under 7.1 shall be extended by a period equal to the delay so notified.</w:t>
      </w:r>
    </w:p>
    <w:p>
      <w:r>
        <w:t>7.3 Failure by the Employer to give the notice required under 7.2 does not relieve the Offtaker of the obligation under 7.1, but the Offtaker shall not be liable for any consequence of a delay of which it was not given reasonable notice.</w:t>
      </w:r>
    </w:p>
    <w:p>
      <w:r>
        <w:rPr>
          <w:color w:val="BBBBBB"/>
        </w:rPr>
        <w:t>____________________________________________________________</w:t>
      </w:r>
    </w:p>
    <w:p>
      <w:pPr>
        <w:pStyle w:val="Heading2"/>
      </w:pPr>
      <w:r>
        <w:t>8. TERM AND TERMINATION</w:t>
      </w:r>
    </w:p>
    <w:p>
      <w:r>
        <w:t xml:space="preserve">8.1 This Agreement commences on the date of signature and continues for a term of </w:t>
      </w:r>
      <w:r>
        <w:rPr>
          <w:b/>
        </w:rPr>
        <w:t>15 years</w:t>
      </w:r>
      <w:r>
        <w:t xml:space="preserve"> from the date of first sustained heat delivery following the successful commissioning test under Section 6, unless terminated earlier under this Section.</w:t>
      </w:r>
    </w:p>
    <w:p>
      <w:r>
        <w:t>8.2 Either party may terminate this Agreement on 12 months' written notice if the Facility ceases operation permanently or if the Offtaker's network serving the connection point is permanently decommissioned.</w:t>
      </w:r>
    </w:p>
    <w:p>
      <w:r>
        <w:t>8.3 Either party may terminate this Agreement with immediate effect on written notice if the other party is in material and persistent breach of its obligations under this Agreement and fails to remedy that breach within 60 days of written notice specifying the breach.</w:t>
      </w:r>
    </w:p>
    <w:p>
      <w:r>
        <w:t>8.4 Termination of this Agreement does not affect any payment obligation accrued before the date of termination.</w:t>
      </w:r>
    </w:p>
    <w:p>
      <w:r>
        <w:rPr>
          <w:color w:val="BBBBBB"/>
        </w:rPr>
        <w:t>____________________________________________________________</w:t>
      </w:r>
    </w:p>
    <w:p>
      <w:pPr>
        <w:pStyle w:val="Heading2"/>
      </w:pPr>
      <w:r>
        <w:t>9. SIGNATURE</w:t>
      </w:r>
    </w:p>
    <w:p>
      <w:r>
        <w:rPr>
          <w:b/>
        </w:rPr>
        <w:t>For Polaris Digital Infrastructure Oy:</w:t>
      </w:r>
    </w:p>
    <w:p>
      <w:r>
        <w:t>Name: Henrik Laaksonen Title: Asset Director Date: 20 November 2025 Signature: _______________________</w:t>
      </w:r>
    </w:p>
    <w:p>
      <w:r>
        <w:rPr>
          <w:b/>
        </w:rPr>
        <w:t>For Vantaan Energia Oy:</w:t>
      </w:r>
    </w:p>
    <w:p>
      <w:r>
        <w:t>Name: Satu Rantanen Title: Head of District Heating Partnerships Date: 20 November 2025 Signature: _______________________</w:t>
      </w:r>
    </w:p>
    <w:p>
      <w:r>
        <w:rPr>
          <w:color w:val="BBBBBB"/>
        </w:rPr>
        <w:t>____________________________________________________________</w:t>
      </w:r>
    </w:p>
    <w:p>
      <w:r>
        <w:t>*End of Document PDC-DH-001 Rev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