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POLARIS DC-1 — EMPLOYER'S REQUIREMENTS</w:t>
      </w:r>
    </w:p>
    <w:p>
      <w:r>
        <w:rPr>
          <w:b/>
        </w:rPr>
        <w:t>Document Ref:</w:t>
      </w:r>
      <w:r>
        <w:t xml:space="preserve"> PDC-ER-001 Rev C</w:t>
      </w:r>
    </w:p>
    <w:p>
      <w:r>
        <w:rPr>
          <w:b/>
        </w:rPr>
        <w:t>Project:</w:t>
      </w:r>
      <w:r>
        <w:t xml:space="preserve"> Polaris DC-1 — Aviapolis Data Campus, Phase 1, Vantaa, Finland</w:t>
      </w:r>
    </w:p>
    <w:p>
      <w:r>
        <w:rPr>
          <w:b/>
        </w:rPr>
        <w:t>Employer:</w:t>
      </w:r>
      <w:r>
        <w:t xml:space="preserve"> Polaris Digital Infrastructure Oy</w:t>
      </w:r>
    </w:p>
    <w:p>
      <w:r>
        <w:rPr>
          <w:b/>
        </w:rPr>
        <w:t>Date:</w:t>
      </w:r>
      <w:r>
        <w:t xml:space="preserve"> 12 January 2026</w:t>
      </w:r>
    </w:p>
    <w:p>
      <w:r>
        <w:rPr>
          <w:b/>
        </w:rPr>
        <w:t>Status:</w:t>
      </w:r>
      <w:r>
        <w:t xml:space="preserve"> Contract Document — performance specification</w:t>
      </w:r>
    </w:p>
    <w:p>
      <w:pPr>
        <w:pStyle w:val="IntenseQuote"/>
      </w:pPr>
      <w:r>
        <w:t>Synthetic demonstration data. All values are fictional.</w:t>
      </w:r>
    </w:p>
    <w:p>
      <w:r>
        <w:rPr>
          <w:color w:val="BBBBBB"/>
        </w:rPr>
        <w:t>____________________________________________________________</w:t>
      </w:r>
    </w:p>
    <w:p>
      <w:pPr>
        <w:pStyle w:val="Heading2"/>
      </w:pPr>
      <w:r>
        <w:t>1. GENERAL</w:t>
      </w:r>
    </w:p>
    <w:p>
      <w:pPr>
        <w:pStyle w:val="Heading3"/>
      </w:pPr>
      <w:r>
        <w:t>1.1 Nature of these Requirements</w:t>
      </w:r>
    </w:p>
    <w:p>
      <w:r>
        <w:t xml:space="preserve">This document is a </w:t>
      </w:r>
      <w:r>
        <w:rPr>
          <w:b/>
        </w:rPr>
        <w:t>performance specification</w:t>
      </w:r>
      <w:r>
        <w:t>. Except where a prescriptive requirement is stated, the Contractor selects the means of compliance and carries the design responsibility for doing so. Where a figure is stated as a guarantee, it is a contractual performance requirement and not an aspiration.</w:t>
      </w:r>
    </w:p>
    <w:p>
      <w:pPr>
        <w:pStyle w:val="Heading3"/>
      </w:pPr>
      <w:r>
        <w:t>1.2 Scope of the Works</w:t>
      </w:r>
    </w:p>
    <w:p>
      <w:r>
        <w:t>Design, procurement, construction, testing, commissioning and handover of a 10 MW colocation data centre comprising:</w:t>
      </w:r>
    </w:p>
    <w:p>
      <w:pPr>
        <w:pStyle w:val="ListBullet"/>
      </w:pPr>
      <w:r>
        <w:t>four data halls, each of 2.5 MW IT load, with associated electrical and</w:t>
      </w:r>
    </w:p>
    <w:p>
      <w:r>
        <w:t xml:space="preserve">  mechanical plant rooms;</w:t>
      </w:r>
    </w:p>
    <w:p>
      <w:pPr>
        <w:pStyle w:val="ListBullet"/>
      </w:pPr>
      <w:r>
        <w:t>a 110/20 kV primary substation and associated switchgear building;</w:t>
      </w:r>
    </w:p>
    <w:p>
      <w:pPr>
        <w:pStyle w:val="ListBullet"/>
      </w:pPr>
      <w:r>
        <w:t>standby generation compound and fuel storage;</w:t>
      </w:r>
    </w:p>
    <w:p>
      <w:pPr>
        <w:pStyle w:val="ListBullet"/>
      </w:pPr>
      <w:r>
        <w:t>chiller and dry-cooler yard;</w:t>
      </w:r>
    </w:p>
    <w:p>
      <w:pPr>
        <w:pStyle w:val="ListBullet"/>
      </w:pPr>
      <w:r>
        <w:t>administration and network operations centre (NOC) block;</w:t>
      </w:r>
    </w:p>
    <w:p>
      <w:pPr>
        <w:pStyle w:val="ListBullet"/>
      </w:pPr>
      <w:r>
        <w:t>security gatehouse, perimeter security, external works, drainage and landscaping;</w:t>
      </w:r>
    </w:p>
    <w:p>
      <w:pPr>
        <w:pStyle w:val="ListBullet"/>
      </w:pPr>
      <w:r>
        <w:t>two diverse fibre entry routes and meet-me room;</w:t>
      </w:r>
    </w:p>
    <w:p>
      <w:pPr>
        <w:pStyle w:val="ListBullet"/>
      </w:pPr>
      <w:r>
        <w:t>district-heating waste-heat recovery plant and connection to the offtaker's</w:t>
      </w:r>
    </w:p>
    <w:p>
      <w:r>
        <w:t xml:space="preserve">  boundary.</w:t>
      </w:r>
    </w:p>
    <w:p>
      <w:pPr>
        <w:pStyle w:val="Heading3"/>
      </w:pPr>
      <w:r>
        <w:t>1.3 Battery limits</w:t>
      </w:r>
    </w:p>
    <w:p>
      <w:r>
        <w:t>The Contractor's scope ends at:</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7"/>
              </w:rPr>
            </w:r>
            <w:r>
              <w:rPr>
                <w:rFonts w:ascii="Arial" w:hAnsi="Arial"/>
                <w:b/>
                <w:sz w:val="17"/>
              </w:rPr>
              <w:t>Interface</w:t>
            </w:r>
          </w:p>
        </w:tc>
        <w:tc>
          <w:tcPr>
            <w:tcW w:type="dxa" w:w="4320"/>
          </w:tcPr>
          <w:p>
            <w:r>
              <w:rPr>
                <w:rFonts w:ascii="Arial" w:hAnsi="Arial"/>
                <w:b/>
                <w:sz w:val="17"/>
              </w:rPr>
            </w:r>
            <w:r>
              <w:rPr>
                <w:rFonts w:ascii="Arial" w:hAnsi="Arial"/>
                <w:b/>
                <w:sz w:val="17"/>
              </w:rPr>
              <w:t>Limit</w:t>
            </w:r>
          </w:p>
        </w:tc>
      </w:tr>
      <w:tr>
        <w:tc>
          <w:tcPr>
            <w:tcW w:type="dxa" w:w="4320"/>
          </w:tcPr>
          <w:p>
            <w:r>
              <w:rPr>
                <w:rFonts w:ascii="Arial" w:hAnsi="Arial"/>
                <w:sz w:val="17"/>
              </w:rPr>
            </w:r>
            <w:r>
              <w:rPr>
                <w:rFonts w:ascii="Arial" w:hAnsi="Arial"/>
                <w:sz w:val="17"/>
              </w:rPr>
              <w:t>Incoming power</w:t>
            </w:r>
          </w:p>
        </w:tc>
        <w:tc>
          <w:tcPr>
            <w:tcW w:type="dxa" w:w="4320"/>
          </w:tcPr>
          <w:p>
            <w:r>
              <w:rPr>
                <w:rFonts w:ascii="Arial" w:hAnsi="Arial"/>
                <w:sz w:val="17"/>
              </w:rPr>
            </w:r>
            <w:r>
              <w:rPr>
                <w:rFonts w:ascii="Arial" w:hAnsi="Arial"/>
                <w:sz w:val="17"/>
              </w:rPr>
              <w:t>Contractor's 110 kV termination within the primary substation. The network operator's line and terminations are excluded.</w:t>
            </w:r>
          </w:p>
        </w:tc>
      </w:tr>
      <w:tr>
        <w:tc>
          <w:tcPr>
            <w:tcW w:type="dxa" w:w="4320"/>
          </w:tcPr>
          <w:p>
            <w:r>
              <w:rPr>
                <w:rFonts w:ascii="Arial" w:hAnsi="Arial"/>
                <w:sz w:val="17"/>
              </w:rPr>
            </w:r>
            <w:r>
              <w:rPr>
                <w:rFonts w:ascii="Arial" w:hAnsi="Arial"/>
                <w:sz w:val="17"/>
              </w:rPr>
              <w:t>District heating</w:t>
            </w:r>
          </w:p>
        </w:tc>
        <w:tc>
          <w:tcPr>
            <w:tcW w:type="dxa" w:w="4320"/>
          </w:tcPr>
          <w:p>
            <w:r>
              <w:rPr>
                <w:rFonts w:ascii="Arial" w:hAnsi="Arial"/>
                <w:sz w:val="17"/>
              </w:rPr>
            </w:r>
            <w:r>
              <w:rPr>
                <w:rFonts w:ascii="Arial" w:hAnsi="Arial"/>
                <w:sz w:val="17"/>
              </w:rPr>
              <w:t>Flanged connection at the site boundary chamber. Offtaker's network is excluded.</w:t>
            </w:r>
          </w:p>
        </w:tc>
      </w:tr>
      <w:tr>
        <w:tc>
          <w:tcPr>
            <w:tcW w:type="dxa" w:w="4320"/>
          </w:tcPr>
          <w:p>
            <w:r>
              <w:rPr>
                <w:rFonts w:ascii="Arial" w:hAnsi="Arial"/>
                <w:sz w:val="17"/>
              </w:rPr>
            </w:r>
            <w:r>
              <w:rPr>
                <w:rFonts w:ascii="Arial" w:hAnsi="Arial"/>
                <w:sz w:val="17"/>
              </w:rPr>
              <w:t>Fibre</w:t>
            </w:r>
          </w:p>
        </w:tc>
        <w:tc>
          <w:tcPr>
            <w:tcW w:type="dxa" w:w="4320"/>
          </w:tcPr>
          <w:p>
            <w:r>
              <w:rPr>
                <w:rFonts w:ascii="Arial" w:hAnsi="Arial"/>
                <w:sz w:val="17"/>
              </w:rPr>
            </w:r>
            <w:r>
              <w:rPr>
                <w:rFonts w:ascii="Arial" w:hAnsi="Arial"/>
                <w:sz w:val="17"/>
              </w:rPr>
              <w:t>Meet-me room termination panels. Carrier tails are excluded.</w:t>
            </w:r>
          </w:p>
        </w:tc>
      </w:tr>
      <w:tr>
        <w:tc>
          <w:tcPr>
            <w:tcW w:type="dxa" w:w="4320"/>
          </w:tcPr>
          <w:p>
            <w:r>
              <w:rPr>
                <w:rFonts w:ascii="Arial" w:hAnsi="Arial"/>
                <w:sz w:val="17"/>
              </w:rPr>
            </w:r>
            <w:r>
              <w:rPr>
                <w:rFonts w:ascii="Arial" w:hAnsi="Arial"/>
                <w:sz w:val="17"/>
              </w:rPr>
              <w:t>IT equipment</w:t>
            </w:r>
          </w:p>
        </w:tc>
        <w:tc>
          <w:tcPr>
            <w:tcW w:type="dxa" w:w="4320"/>
          </w:tcPr>
          <w:p>
            <w:r>
              <w:rPr>
                <w:rFonts w:ascii="Arial" w:hAnsi="Arial"/>
                <w:sz w:val="17"/>
              </w:rPr>
            </w:r>
            <w:r>
              <w:rPr>
                <w:rFonts w:ascii="Arial" w:hAnsi="Arial"/>
                <w:sz w:val="17"/>
              </w:rPr>
              <w:t>Excluded. Racks, servers and containment *doors* are by the Tenant; containment framework and blanking are by the Contractor.</w:t>
            </w:r>
          </w:p>
        </w:tc>
      </w:tr>
      <w:tr>
        <w:tc>
          <w:tcPr>
            <w:tcW w:type="dxa" w:w="4320"/>
          </w:tcPr>
          <w:p>
            <w:r>
              <w:rPr>
                <w:rFonts w:ascii="Arial" w:hAnsi="Arial"/>
                <w:sz w:val="17"/>
              </w:rPr>
            </w:r>
            <w:r>
              <w:rPr>
                <w:rFonts w:ascii="Arial" w:hAnsi="Arial"/>
                <w:sz w:val="17"/>
              </w:rPr>
              <w:t>Water and foul</w:t>
            </w:r>
          </w:p>
        </w:tc>
        <w:tc>
          <w:tcPr>
            <w:tcW w:type="dxa" w:w="4320"/>
          </w:tcPr>
          <w:p>
            <w:r>
              <w:rPr>
                <w:rFonts w:ascii="Arial" w:hAnsi="Arial"/>
                <w:sz w:val="17"/>
              </w:rPr>
            </w:r>
            <w:r>
              <w:rPr>
                <w:rFonts w:ascii="Arial" w:hAnsi="Arial"/>
                <w:sz w:val="17"/>
              </w:rPr>
              <w:t>Connection at the south-west corner chamber.</w:t>
            </w:r>
          </w:p>
        </w:tc>
      </w:tr>
    </w:tbl>
    <w:p/>
    <w:p>
      <w:pPr>
        <w:pStyle w:val="Heading3"/>
      </w:pPr>
      <w:r>
        <w:t>1.4 Standards</w:t>
      </w:r>
    </w:p>
    <w:p>
      <w:r>
        <w:t>Compliance with Finnish statutory requirements is mandatory, in particular the Land Use and Building Act (132/1999), the National Building Code of Finland, SFS 6000 (low-voltage installations), SFS 6001 (high-voltage installations), and the Rescue Act. Where these Requirements refer to EN or IEC standards, the Finnish national implementation applies. Uptime Institute Tier III criteria are adopted as the resilience benchmark but certification is not required.</w:t>
      </w:r>
    </w:p>
    <w:p>
      <w:r>
        <w:rPr>
          <w:color w:val="BBBBBB"/>
        </w:rPr>
        <w:t>____________________________________________________________</w:t>
      </w:r>
    </w:p>
    <w:p>
      <w:pPr>
        <w:pStyle w:val="Heading2"/>
      </w:pPr>
      <w:r>
        <w:t>2. THE FACILITY</w:t>
      </w:r>
    </w:p>
    <w:p>
      <w:pPr>
        <w:pStyle w:val="Heading3"/>
      </w:pPr>
      <w:r>
        <w:t>2.1 Area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7"/>
              </w:rPr>
            </w:r>
            <w:r>
              <w:rPr>
                <w:rFonts w:ascii="Arial" w:hAnsi="Arial"/>
                <w:b/>
                <w:sz w:val="17"/>
              </w:rPr>
              <w:t>Area</w:t>
            </w:r>
          </w:p>
        </w:tc>
        <w:tc>
          <w:tcPr>
            <w:tcW w:type="dxa" w:w="2880"/>
          </w:tcPr>
          <w:p>
            <w:r>
              <w:rPr>
                <w:rFonts w:ascii="Arial" w:hAnsi="Arial"/>
                <w:b/>
                <w:sz w:val="17"/>
              </w:rPr>
            </w:r>
            <w:r>
              <w:rPr>
                <w:rFonts w:ascii="Arial" w:hAnsi="Arial"/>
                <w:b/>
                <w:sz w:val="17"/>
              </w:rPr>
              <w:t>GFA (m²)</w:t>
            </w:r>
          </w:p>
        </w:tc>
        <w:tc>
          <w:tcPr>
            <w:tcW w:type="dxa" w:w="2880"/>
          </w:tcPr>
          <w:p>
            <w:r>
              <w:rPr>
                <w:rFonts w:ascii="Arial" w:hAnsi="Arial"/>
                <w:b/>
                <w:sz w:val="17"/>
              </w:rPr>
            </w:r>
            <w:r>
              <w:rPr>
                <w:rFonts w:ascii="Arial" w:hAnsi="Arial"/>
                <w:b/>
                <w:sz w:val="17"/>
              </w:rPr>
              <w:t>Notes</w:t>
            </w:r>
          </w:p>
        </w:tc>
      </w:tr>
      <w:tr>
        <w:tc>
          <w:tcPr>
            <w:tcW w:type="dxa" w:w="2880"/>
          </w:tcPr>
          <w:p>
            <w:r>
              <w:rPr>
                <w:rFonts w:ascii="Arial" w:hAnsi="Arial"/>
                <w:sz w:val="17"/>
              </w:rPr>
            </w:r>
            <w:r>
              <w:rPr>
                <w:rFonts w:ascii="Arial" w:hAnsi="Arial"/>
                <w:sz w:val="17"/>
              </w:rPr>
              <w:t>Data Hall 1</w:t>
            </w:r>
          </w:p>
        </w:tc>
        <w:tc>
          <w:tcPr>
            <w:tcW w:type="dxa" w:w="2880"/>
          </w:tcPr>
          <w:p>
            <w:r>
              <w:rPr>
                <w:rFonts w:ascii="Arial" w:hAnsi="Arial"/>
                <w:sz w:val="17"/>
              </w:rPr>
            </w:r>
            <w:r>
              <w:rPr>
                <w:rFonts w:ascii="Arial" w:hAnsi="Arial"/>
                <w:sz w:val="17"/>
              </w:rPr>
              <w:t>1,650</w:t>
            </w:r>
          </w:p>
        </w:tc>
        <w:tc>
          <w:tcPr>
            <w:tcW w:type="dxa" w:w="2880"/>
          </w:tcPr>
          <w:p>
            <w:r>
              <w:rPr>
                <w:rFonts w:ascii="Arial" w:hAnsi="Arial"/>
                <w:sz w:val="17"/>
              </w:rPr>
            </w:r>
            <w:r>
              <w:rPr>
                <w:rFonts w:ascii="Arial" w:hAnsi="Arial"/>
                <w:sz w:val="17"/>
              </w:rPr>
              <w:t>1,250 m² white space + 400 m² electrical/mechanical</w:t>
            </w:r>
          </w:p>
        </w:tc>
      </w:tr>
      <w:tr>
        <w:tc>
          <w:tcPr>
            <w:tcW w:type="dxa" w:w="2880"/>
          </w:tcPr>
          <w:p>
            <w:r>
              <w:rPr>
                <w:rFonts w:ascii="Arial" w:hAnsi="Arial"/>
                <w:sz w:val="17"/>
              </w:rPr>
            </w:r>
            <w:r>
              <w:rPr>
                <w:rFonts w:ascii="Arial" w:hAnsi="Arial"/>
                <w:sz w:val="17"/>
              </w:rPr>
              <w:t>Data Hall 2</w:t>
            </w:r>
          </w:p>
        </w:tc>
        <w:tc>
          <w:tcPr>
            <w:tcW w:type="dxa" w:w="2880"/>
          </w:tcPr>
          <w:p>
            <w:r>
              <w:rPr>
                <w:rFonts w:ascii="Arial" w:hAnsi="Arial"/>
                <w:sz w:val="17"/>
              </w:rPr>
            </w:r>
            <w:r>
              <w:rPr>
                <w:rFonts w:ascii="Arial" w:hAnsi="Arial"/>
                <w:sz w:val="17"/>
              </w:rPr>
              <w:t>1,650</w:t>
            </w:r>
          </w:p>
        </w:tc>
        <w:tc>
          <w:tcPr>
            <w:tcW w:type="dxa" w:w="2880"/>
          </w:tcPr>
          <w:p>
            <w:r>
              <w:rPr>
                <w:rFonts w:ascii="Arial" w:hAnsi="Arial"/>
                <w:sz w:val="17"/>
              </w:rPr>
            </w:r>
            <w:r>
              <w:rPr>
                <w:rFonts w:ascii="Arial" w:hAnsi="Arial"/>
                <w:sz w:val="17"/>
              </w:rPr>
              <w:t>as Hall 1</w:t>
            </w:r>
          </w:p>
        </w:tc>
      </w:tr>
      <w:tr>
        <w:tc>
          <w:tcPr>
            <w:tcW w:type="dxa" w:w="2880"/>
          </w:tcPr>
          <w:p>
            <w:r>
              <w:rPr>
                <w:rFonts w:ascii="Arial" w:hAnsi="Arial"/>
                <w:sz w:val="17"/>
              </w:rPr>
            </w:r>
            <w:r>
              <w:rPr>
                <w:rFonts w:ascii="Arial" w:hAnsi="Arial"/>
                <w:sz w:val="17"/>
              </w:rPr>
              <w:t>Data Hall 3</w:t>
            </w:r>
          </w:p>
        </w:tc>
        <w:tc>
          <w:tcPr>
            <w:tcW w:type="dxa" w:w="2880"/>
          </w:tcPr>
          <w:p>
            <w:r>
              <w:rPr>
                <w:rFonts w:ascii="Arial" w:hAnsi="Arial"/>
                <w:sz w:val="17"/>
              </w:rPr>
            </w:r>
            <w:r>
              <w:rPr>
                <w:rFonts w:ascii="Arial" w:hAnsi="Arial"/>
                <w:sz w:val="17"/>
              </w:rPr>
              <w:t>1,650</w:t>
            </w:r>
          </w:p>
        </w:tc>
        <w:tc>
          <w:tcPr>
            <w:tcW w:type="dxa" w:w="2880"/>
          </w:tcPr>
          <w:p>
            <w:r>
              <w:rPr>
                <w:rFonts w:ascii="Arial" w:hAnsi="Arial"/>
                <w:sz w:val="17"/>
              </w:rPr>
            </w:r>
            <w:r>
              <w:rPr>
                <w:rFonts w:ascii="Arial" w:hAnsi="Arial"/>
                <w:sz w:val="17"/>
              </w:rPr>
              <w:t>as Hall 1</w:t>
            </w:r>
          </w:p>
        </w:tc>
      </w:tr>
      <w:tr>
        <w:tc>
          <w:tcPr>
            <w:tcW w:type="dxa" w:w="2880"/>
          </w:tcPr>
          <w:p>
            <w:r>
              <w:rPr>
                <w:rFonts w:ascii="Arial" w:hAnsi="Arial"/>
                <w:sz w:val="17"/>
              </w:rPr>
            </w:r>
            <w:r>
              <w:rPr>
                <w:rFonts w:ascii="Arial" w:hAnsi="Arial"/>
                <w:sz w:val="17"/>
              </w:rPr>
              <w:t>Data Hall 4</w:t>
            </w:r>
          </w:p>
        </w:tc>
        <w:tc>
          <w:tcPr>
            <w:tcW w:type="dxa" w:w="2880"/>
          </w:tcPr>
          <w:p>
            <w:r>
              <w:rPr>
                <w:rFonts w:ascii="Arial" w:hAnsi="Arial"/>
                <w:sz w:val="17"/>
              </w:rPr>
            </w:r>
            <w:r>
              <w:rPr>
                <w:rFonts w:ascii="Arial" w:hAnsi="Arial"/>
                <w:sz w:val="17"/>
              </w:rPr>
              <w:t>1,650</w:t>
            </w:r>
          </w:p>
        </w:tc>
        <w:tc>
          <w:tcPr>
            <w:tcW w:type="dxa" w:w="2880"/>
          </w:tcPr>
          <w:p>
            <w:r>
              <w:rPr>
                <w:rFonts w:ascii="Arial" w:hAnsi="Arial"/>
                <w:sz w:val="17"/>
              </w:rPr>
            </w:r>
            <w:r>
              <w:rPr>
                <w:rFonts w:ascii="Arial" w:hAnsi="Arial"/>
                <w:sz w:val="17"/>
              </w:rPr>
              <w:t>as Hall 1</w:t>
            </w:r>
          </w:p>
        </w:tc>
      </w:tr>
      <w:tr>
        <w:tc>
          <w:tcPr>
            <w:tcW w:type="dxa" w:w="2880"/>
          </w:tcPr>
          <w:p>
            <w:r>
              <w:rPr>
                <w:rFonts w:ascii="Arial" w:hAnsi="Arial"/>
                <w:sz w:val="17"/>
              </w:rPr>
            </w:r>
            <w:r>
              <w:rPr>
                <w:rFonts w:ascii="Arial" w:hAnsi="Arial"/>
                <w:sz w:val="17"/>
              </w:rPr>
              <w:t>Shared MEP spine and mezzanine</w:t>
            </w:r>
          </w:p>
        </w:tc>
        <w:tc>
          <w:tcPr>
            <w:tcW w:type="dxa" w:w="2880"/>
          </w:tcPr>
          <w:p>
            <w:r>
              <w:rPr>
                <w:rFonts w:ascii="Arial" w:hAnsi="Arial"/>
                <w:sz w:val="17"/>
              </w:rPr>
            </w:r>
            <w:r>
              <w:rPr>
                <w:rFonts w:ascii="Arial" w:hAnsi="Arial"/>
                <w:sz w:val="17"/>
              </w:rPr>
              <w:t>2,900</w:t>
            </w:r>
          </w:p>
        </w:tc>
        <w:tc>
          <w:tcPr>
            <w:tcW w:type="dxa" w:w="2880"/>
          </w:tcPr>
          <w:p>
            <w:r>
              <w:rPr>
                <w:rFonts w:ascii="Arial" w:hAnsi="Arial"/>
                <w:sz w:val="17"/>
              </w:rPr>
            </w:r>
            <w:r>
              <w:rPr>
                <w:rFonts w:ascii="Arial" w:hAnsi="Arial"/>
                <w:sz w:val="17"/>
              </w:rPr>
              <w:t>Pipework, busway, UPS, battery rooms</w:t>
            </w:r>
          </w:p>
        </w:tc>
      </w:tr>
      <w:tr>
        <w:tc>
          <w:tcPr>
            <w:tcW w:type="dxa" w:w="2880"/>
          </w:tcPr>
          <w:p>
            <w:r>
              <w:rPr>
                <w:rFonts w:ascii="Arial" w:hAnsi="Arial"/>
                <w:sz w:val="17"/>
              </w:rPr>
            </w:r>
            <w:r>
              <w:rPr>
                <w:rFonts w:ascii="Arial" w:hAnsi="Arial"/>
                <w:sz w:val="17"/>
              </w:rPr>
              <w:t>Primary substation and switchgear building</w:t>
            </w:r>
          </w:p>
        </w:tc>
        <w:tc>
          <w:tcPr>
            <w:tcW w:type="dxa" w:w="2880"/>
          </w:tcPr>
          <w:p>
            <w:r>
              <w:rPr>
                <w:rFonts w:ascii="Arial" w:hAnsi="Arial"/>
                <w:sz w:val="17"/>
              </w:rPr>
            </w:r>
            <w:r>
              <w:rPr>
                <w:rFonts w:ascii="Arial" w:hAnsi="Arial"/>
                <w:sz w:val="17"/>
              </w:rPr>
              <w:t>1,100</w:t>
            </w:r>
          </w:p>
        </w:tc>
        <w:tc>
          <w:tcPr>
            <w:tcW w:type="dxa" w:w="2880"/>
          </w:tcPr>
          <w:p>
            <w:r>
              <w:rPr>
                <w:rFonts w:ascii="Arial" w:hAnsi="Arial"/>
                <w:sz w:val="17"/>
              </w:rPr>
            </w:r>
            <w:r>
              <w:rPr>
                <w:rFonts w:ascii="Arial" w:hAnsi="Arial"/>
                <w:sz w:val="17"/>
              </w:rPr>
              <w:t>110/20 kV</w:t>
            </w:r>
          </w:p>
        </w:tc>
      </w:tr>
      <w:tr>
        <w:tc>
          <w:tcPr>
            <w:tcW w:type="dxa" w:w="2880"/>
          </w:tcPr>
          <w:p>
            <w:r>
              <w:rPr>
                <w:rFonts w:ascii="Arial" w:hAnsi="Arial"/>
                <w:sz w:val="17"/>
              </w:rPr>
            </w:r>
            <w:r>
              <w:rPr>
                <w:rFonts w:ascii="Arial" w:hAnsi="Arial"/>
                <w:sz w:val="17"/>
              </w:rPr>
              <w:t>Generator compound (enclosed)</w:t>
            </w:r>
          </w:p>
        </w:tc>
        <w:tc>
          <w:tcPr>
            <w:tcW w:type="dxa" w:w="2880"/>
          </w:tcPr>
          <w:p>
            <w:r>
              <w:rPr>
                <w:rFonts w:ascii="Arial" w:hAnsi="Arial"/>
                <w:sz w:val="17"/>
              </w:rPr>
            </w:r>
            <w:r>
              <w:rPr>
                <w:rFonts w:ascii="Arial" w:hAnsi="Arial"/>
                <w:sz w:val="17"/>
              </w:rPr>
              <w:t>950</w:t>
            </w:r>
          </w:p>
        </w:tc>
        <w:tc>
          <w:tcPr>
            <w:tcW w:type="dxa" w:w="2880"/>
          </w:tcPr>
          <w:p>
            <w:r>
              <w:rPr>
                <w:rFonts w:ascii="Arial" w:hAnsi="Arial"/>
                <w:sz w:val="17"/>
              </w:rPr>
            </w:r>
            <w:r>
              <w:rPr>
                <w:rFonts w:ascii="Arial" w:hAnsi="Arial"/>
                <w:sz w:val="17"/>
              </w:rPr>
              <w:t>8 × 2.5 MVA</w:t>
            </w:r>
          </w:p>
        </w:tc>
      </w:tr>
      <w:tr>
        <w:tc>
          <w:tcPr>
            <w:tcW w:type="dxa" w:w="2880"/>
          </w:tcPr>
          <w:p>
            <w:r>
              <w:rPr>
                <w:rFonts w:ascii="Arial" w:hAnsi="Arial"/>
                <w:sz w:val="17"/>
              </w:rPr>
            </w:r>
            <w:r>
              <w:rPr>
                <w:rFonts w:ascii="Arial" w:hAnsi="Arial"/>
                <w:sz w:val="17"/>
              </w:rPr>
              <w:t>Administration and NOC block</w:t>
            </w:r>
          </w:p>
        </w:tc>
        <w:tc>
          <w:tcPr>
            <w:tcW w:type="dxa" w:w="2880"/>
          </w:tcPr>
          <w:p>
            <w:r>
              <w:rPr>
                <w:rFonts w:ascii="Arial" w:hAnsi="Arial"/>
                <w:sz w:val="17"/>
              </w:rPr>
            </w:r>
            <w:r>
              <w:rPr>
                <w:rFonts w:ascii="Arial" w:hAnsi="Arial"/>
                <w:sz w:val="17"/>
              </w:rPr>
              <w:t>1,250</w:t>
            </w:r>
          </w:p>
        </w:tc>
        <w:tc>
          <w:tcPr>
            <w:tcW w:type="dxa" w:w="2880"/>
          </w:tcPr>
          <w:p>
            <w:r>
              <w:rPr>
                <w:rFonts w:ascii="Arial" w:hAnsi="Arial"/>
                <w:sz w:val="17"/>
              </w:rPr>
            </w:r>
            <w:r>
              <w:rPr>
                <w:rFonts w:ascii="Arial" w:hAnsi="Arial"/>
                <w:sz w:val="17"/>
              </w:rPr>
              <w:t>Two-storey, offices, NOC, welfare</w:t>
            </w:r>
          </w:p>
        </w:tc>
      </w:tr>
      <w:tr>
        <w:tc>
          <w:tcPr>
            <w:tcW w:type="dxa" w:w="2880"/>
          </w:tcPr>
          <w:p>
            <w:r>
              <w:rPr>
                <w:rFonts w:ascii="Arial" w:hAnsi="Arial"/>
                <w:sz w:val="17"/>
              </w:rPr>
            </w:r>
            <w:r>
              <w:rPr>
                <w:rFonts w:ascii="Arial" w:hAnsi="Arial"/>
                <w:sz w:val="17"/>
              </w:rPr>
              <w:t>Security gatehouse and loading</w:t>
            </w:r>
          </w:p>
        </w:tc>
        <w:tc>
          <w:tcPr>
            <w:tcW w:type="dxa" w:w="2880"/>
          </w:tcPr>
          <w:p>
            <w:r>
              <w:rPr>
                <w:rFonts w:ascii="Arial" w:hAnsi="Arial"/>
                <w:sz w:val="17"/>
              </w:rPr>
            </w:r>
            <w:r>
              <w:rPr>
                <w:rFonts w:ascii="Arial" w:hAnsi="Arial"/>
                <w:sz w:val="17"/>
              </w:rPr>
              <w:t>350</w:t>
            </w:r>
          </w:p>
        </w:tc>
        <w:tc>
          <w:tcPr>
            <w:tcW w:type="dxa" w:w="2880"/>
          </w:tcPr>
          <w:p>
            <w:r>
              <w:rPr>
                <w:rFonts w:ascii="Arial" w:hAnsi="Arial"/>
                <w:sz w:val="17"/>
              </w:rPr>
            </w:r>
          </w:p>
        </w:tc>
      </w:tr>
      <w:tr>
        <w:tc>
          <w:tcPr>
            <w:tcW w:type="dxa" w:w="2880"/>
          </w:tcPr>
          <w:p>
            <w:r>
              <w:rPr>
                <w:rFonts w:ascii="Arial" w:hAnsi="Arial"/>
                <w:sz w:val="17"/>
              </w:rPr>
            </w:r>
            <w:r>
              <w:rPr>
                <w:rFonts w:ascii="Arial" w:hAnsi="Arial"/>
                <w:sz w:val="17"/>
              </w:rPr>
              <w:t>Circulation, corridors, plant voids and ancillary</w:t>
            </w:r>
          </w:p>
        </w:tc>
        <w:tc>
          <w:tcPr>
            <w:tcW w:type="dxa" w:w="2880"/>
          </w:tcPr>
          <w:p>
            <w:r>
              <w:rPr>
                <w:rFonts w:ascii="Arial" w:hAnsi="Arial"/>
                <w:sz w:val="17"/>
              </w:rPr>
            </w:r>
            <w:r>
              <w:rPr>
                <w:rFonts w:ascii="Arial" w:hAnsi="Arial"/>
                <w:sz w:val="17"/>
              </w:rPr>
              <w:t>1,300</w:t>
            </w:r>
          </w:p>
        </w:tc>
        <w:tc>
          <w:tcPr>
            <w:tcW w:type="dxa" w:w="2880"/>
          </w:tcPr>
          <w:p>
            <w:r>
              <w:rPr>
                <w:rFonts w:ascii="Arial" w:hAnsi="Arial"/>
                <w:sz w:val="17"/>
              </w:rPr>
            </w:r>
            <w:r>
              <w:rPr>
                <w:rFonts w:ascii="Arial" w:hAnsi="Arial"/>
                <w:sz w:val="17"/>
              </w:rPr>
              <w:t>Spread across the buildings above</w:t>
            </w:r>
          </w:p>
        </w:tc>
      </w:tr>
      <w:tr>
        <w:tc>
          <w:tcPr>
            <w:tcW w:type="dxa" w:w="2880"/>
          </w:tcPr>
          <w:p>
            <w:r>
              <w:rPr>
                <w:rFonts w:ascii="Arial" w:hAnsi="Arial"/>
                <w:sz w:val="17"/>
              </w:rPr>
            </w:r>
            <w:r>
              <w:rPr>
                <w:rFonts w:ascii="Arial" w:hAnsi="Arial"/>
                <w:b/>
                <w:sz w:val="17"/>
              </w:rPr>
              <w:t>Total GFA</w:t>
            </w:r>
          </w:p>
        </w:tc>
        <w:tc>
          <w:tcPr>
            <w:tcW w:type="dxa" w:w="2880"/>
          </w:tcPr>
          <w:p>
            <w:r>
              <w:rPr>
                <w:rFonts w:ascii="Arial" w:hAnsi="Arial"/>
                <w:sz w:val="17"/>
              </w:rPr>
            </w:r>
            <w:r>
              <w:rPr>
                <w:rFonts w:ascii="Arial" w:hAnsi="Arial"/>
                <w:b/>
                <w:sz w:val="17"/>
              </w:rPr>
              <w:t>14,450</w:t>
            </w:r>
          </w:p>
        </w:tc>
        <w:tc>
          <w:tcPr>
            <w:tcW w:type="dxa" w:w="2880"/>
          </w:tcPr>
          <w:p>
            <w:r>
              <w:rPr>
                <w:rFonts w:ascii="Arial" w:hAnsi="Arial"/>
                <w:sz w:val="17"/>
              </w:rPr>
            </w:r>
            <w:r>
              <w:rPr>
                <w:rFonts w:ascii="Arial" w:hAnsi="Arial"/>
                <w:sz w:val="17"/>
              </w:rPr>
              <w:t>±3% design tolerance</w:t>
            </w:r>
          </w:p>
        </w:tc>
      </w:tr>
    </w:tbl>
    <w:p/>
    <w:p>
      <w:pPr>
        <w:pStyle w:val="Heading3"/>
      </w:pPr>
      <w:r>
        <w:t>2.2 Structural criteria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7"/>
              </w:rPr>
            </w:r>
            <w:r>
              <w:rPr>
                <w:rFonts w:ascii="Arial" w:hAnsi="Arial"/>
                <w:b/>
                <w:sz w:val="17"/>
              </w:rPr>
              <w:t>Item</w:t>
            </w:r>
          </w:p>
        </w:tc>
        <w:tc>
          <w:tcPr>
            <w:tcW w:type="dxa" w:w="4320"/>
          </w:tcPr>
          <w:p>
            <w:r>
              <w:rPr>
                <w:rFonts w:ascii="Arial" w:hAnsi="Arial"/>
                <w:b/>
                <w:sz w:val="17"/>
              </w:rPr>
            </w:r>
            <w:r>
              <w:rPr>
                <w:rFonts w:ascii="Arial" w:hAnsi="Arial"/>
                <w:b/>
                <w:sz w:val="17"/>
              </w:rPr>
              <w:t>Requirement</w:t>
            </w:r>
          </w:p>
        </w:tc>
      </w:tr>
      <w:tr>
        <w:tc>
          <w:tcPr>
            <w:tcW w:type="dxa" w:w="4320"/>
          </w:tcPr>
          <w:p>
            <w:r>
              <w:rPr>
                <w:rFonts w:ascii="Arial" w:hAnsi="Arial"/>
                <w:sz w:val="17"/>
              </w:rPr>
            </w:r>
            <w:r>
              <w:rPr>
                <w:rFonts w:ascii="Arial" w:hAnsi="Arial"/>
                <w:sz w:val="17"/>
              </w:rPr>
              <w:t>Frame</w:t>
            </w:r>
          </w:p>
        </w:tc>
        <w:tc>
          <w:tcPr>
            <w:tcW w:type="dxa" w:w="4320"/>
          </w:tcPr>
          <w:p>
            <w:r>
              <w:rPr>
                <w:rFonts w:ascii="Arial" w:hAnsi="Arial"/>
                <w:sz w:val="17"/>
              </w:rPr>
            </w:r>
            <w:r>
              <w:rPr>
                <w:rFonts w:ascii="Arial" w:hAnsi="Arial"/>
                <w:sz w:val="17"/>
              </w:rPr>
              <w:t>Steel portal/braced frame, 12 m × 18 m primary grid</w:t>
            </w:r>
          </w:p>
        </w:tc>
      </w:tr>
      <w:tr>
        <w:tc>
          <w:tcPr>
            <w:tcW w:type="dxa" w:w="4320"/>
          </w:tcPr>
          <w:p>
            <w:r>
              <w:rPr>
                <w:rFonts w:ascii="Arial" w:hAnsi="Arial"/>
                <w:sz w:val="17"/>
              </w:rPr>
            </w:r>
            <w:r>
              <w:rPr>
                <w:rFonts w:ascii="Arial" w:hAnsi="Arial"/>
                <w:sz w:val="17"/>
              </w:rPr>
              <w:t>Clear internal height (white space)</w:t>
            </w:r>
          </w:p>
        </w:tc>
        <w:tc>
          <w:tcPr>
            <w:tcW w:type="dxa" w:w="4320"/>
          </w:tcPr>
          <w:p>
            <w:r>
              <w:rPr>
                <w:rFonts w:ascii="Arial" w:hAnsi="Arial"/>
                <w:sz w:val="17"/>
              </w:rPr>
            </w:r>
            <w:r>
              <w:rPr>
                <w:rFonts w:ascii="Arial" w:hAnsi="Arial"/>
                <w:sz w:val="17"/>
              </w:rPr>
              <w:t>4.2 m minimum under lowest service</w:t>
            </w:r>
          </w:p>
        </w:tc>
      </w:tr>
      <w:tr>
        <w:tc>
          <w:tcPr>
            <w:tcW w:type="dxa" w:w="4320"/>
          </w:tcPr>
          <w:p>
            <w:r>
              <w:rPr>
                <w:rFonts w:ascii="Arial" w:hAnsi="Arial"/>
                <w:sz w:val="17"/>
              </w:rPr>
            </w:r>
            <w:r>
              <w:rPr>
                <w:rFonts w:ascii="Arial" w:hAnsi="Arial"/>
                <w:sz w:val="17"/>
              </w:rPr>
              <w:t>Wall construction</w:t>
            </w:r>
          </w:p>
        </w:tc>
        <w:tc>
          <w:tcPr>
            <w:tcW w:type="dxa" w:w="4320"/>
          </w:tcPr>
          <w:p>
            <w:r>
              <w:rPr>
                <w:rFonts w:ascii="Arial" w:hAnsi="Arial"/>
                <w:sz w:val="17"/>
              </w:rPr>
            </w:r>
            <w:r>
              <w:rPr>
                <w:rFonts w:ascii="Arial" w:hAnsi="Arial"/>
                <w:sz w:val="17"/>
              </w:rPr>
              <w:t>Precast concrete panels, minimum 2-hour fire rating between halls</w:t>
            </w:r>
          </w:p>
        </w:tc>
      </w:tr>
      <w:tr>
        <w:tc>
          <w:tcPr>
            <w:tcW w:type="dxa" w:w="4320"/>
          </w:tcPr>
          <w:p>
            <w:r>
              <w:rPr>
                <w:rFonts w:ascii="Arial" w:hAnsi="Arial"/>
                <w:sz w:val="17"/>
              </w:rPr>
            </w:r>
            <w:r>
              <w:rPr>
                <w:rFonts w:ascii="Arial" w:hAnsi="Arial"/>
                <w:sz w:val="17"/>
              </w:rPr>
              <w:t>Ground floor slab</w:t>
            </w:r>
          </w:p>
        </w:tc>
        <w:tc>
          <w:tcPr>
            <w:tcW w:type="dxa" w:w="4320"/>
          </w:tcPr>
          <w:p>
            <w:r>
              <w:rPr>
                <w:rFonts w:ascii="Arial" w:hAnsi="Arial"/>
                <w:sz w:val="17"/>
              </w:rPr>
            </w:r>
            <w:r>
              <w:rPr>
                <w:rFonts w:ascii="Arial" w:hAnsi="Arial"/>
                <w:sz w:val="17"/>
              </w:rPr>
              <w:t>Ground-bearing, 25 kN/m² uniform imposed load, FM2 flatness</w:t>
            </w:r>
          </w:p>
        </w:tc>
      </w:tr>
      <w:tr>
        <w:tc>
          <w:tcPr>
            <w:tcW w:type="dxa" w:w="4320"/>
          </w:tcPr>
          <w:p>
            <w:r>
              <w:rPr>
                <w:rFonts w:ascii="Arial" w:hAnsi="Arial"/>
                <w:sz w:val="17"/>
              </w:rPr>
            </w:r>
            <w:r>
              <w:rPr>
                <w:rFonts w:ascii="Arial" w:hAnsi="Arial"/>
                <w:sz w:val="17"/>
              </w:rPr>
              <w:t>Raised floor</w:t>
            </w:r>
          </w:p>
        </w:tc>
        <w:tc>
          <w:tcPr>
            <w:tcW w:type="dxa" w:w="4320"/>
          </w:tcPr>
          <w:p>
            <w:r>
              <w:rPr>
                <w:rFonts w:ascii="Arial" w:hAnsi="Arial"/>
                <w:sz w:val="17"/>
              </w:rPr>
            </w:r>
            <w:r>
              <w:rPr>
                <w:rFonts w:ascii="Arial" w:hAnsi="Arial"/>
                <w:sz w:val="17"/>
              </w:rPr>
              <w:t>Not required in white space — overhead containment and busway</w:t>
            </w:r>
          </w:p>
        </w:tc>
      </w:tr>
      <w:tr>
        <w:tc>
          <w:tcPr>
            <w:tcW w:type="dxa" w:w="4320"/>
          </w:tcPr>
          <w:p>
            <w:r>
              <w:rPr>
                <w:rFonts w:ascii="Arial" w:hAnsi="Arial"/>
                <w:sz w:val="17"/>
              </w:rPr>
            </w:r>
            <w:r>
              <w:rPr>
                <w:rFonts w:ascii="Arial" w:hAnsi="Arial"/>
                <w:sz w:val="17"/>
              </w:rPr>
              <w:t>Roof</w:t>
            </w:r>
          </w:p>
        </w:tc>
        <w:tc>
          <w:tcPr>
            <w:tcW w:type="dxa" w:w="4320"/>
          </w:tcPr>
          <w:p>
            <w:r>
              <w:rPr>
                <w:rFonts w:ascii="Arial" w:hAnsi="Arial"/>
                <w:sz w:val="17"/>
              </w:rPr>
            </w:r>
            <w:r>
              <w:rPr>
                <w:rFonts w:ascii="Arial" w:hAnsi="Arial"/>
                <w:sz w:val="17"/>
              </w:rPr>
              <w:t>Insulated warm roof, imposed load allowance for PV plus plant</w:t>
            </w:r>
          </w:p>
        </w:tc>
      </w:tr>
      <w:tr>
        <w:tc>
          <w:tcPr>
            <w:tcW w:type="dxa" w:w="4320"/>
          </w:tcPr>
          <w:p>
            <w:r>
              <w:rPr>
                <w:rFonts w:ascii="Arial" w:hAnsi="Arial"/>
                <w:sz w:val="17"/>
              </w:rPr>
            </w:r>
            <w:r>
              <w:rPr>
                <w:rFonts w:ascii="Arial" w:hAnsi="Arial"/>
                <w:sz w:val="17"/>
              </w:rPr>
              <w:t>Design life</w:t>
            </w:r>
          </w:p>
        </w:tc>
        <w:tc>
          <w:tcPr>
            <w:tcW w:type="dxa" w:w="4320"/>
          </w:tcPr>
          <w:p>
            <w:r>
              <w:rPr>
                <w:rFonts w:ascii="Arial" w:hAnsi="Arial"/>
                <w:sz w:val="17"/>
              </w:rPr>
            </w:r>
            <w:r>
              <w:rPr>
                <w:rFonts w:ascii="Arial" w:hAnsi="Arial"/>
                <w:sz w:val="17"/>
              </w:rPr>
              <w:t>50 years structure, 25 years envelope</w:t>
            </w:r>
          </w:p>
        </w:tc>
      </w:tr>
      <w:tr>
        <w:tc>
          <w:tcPr>
            <w:tcW w:type="dxa" w:w="4320"/>
          </w:tcPr>
          <w:p>
            <w:r>
              <w:rPr>
                <w:rFonts w:ascii="Arial" w:hAnsi="Arial"/>
                <w:sz w:val="17"/>
              </w:rPr>
            </w:r>
            <w:r>
              <w:rPr>
                <w:rFonts w:ascii="Arial" w:hAnsi="Arial"/>
                <w:sz w:val="17"/>
              </w:rPr>
              <w:t>Snow and wind</w:t>
            </w:r>
          </w:p>
        </w:tc>
        <w:tc>
          <w:tcPr>
            <w:tcW w:type="dxa" w:w="4320"/>
          </w:tcPr>
          <w:p>
            <w:r>
              <w:rPr>
                <w:rFonts w:ascii="Arial" w:hAnsi="Arial"/>
                <w:sz w:val="17"/>
              </w:rPr>
            </w:r>
            <w:r>
              <w:rPr>
                <w:rFonts w:ascii="Arial" w:hAnsi="Arial"/>
                <w:sz w:val="17"/>
              </w:rPr>
              <w:t>Finnish national annex loading, Vantaa location</w:t>
            </w:r>
          </w:p>
        </w:tc>
      </w:tr>
      <w:tr>
        <w:tc>
          <w:tcPr>
            <w:tcW w:type="dxa" w:w="4320"/>
          </w:tcPr>
          <w:p>
            <w:r>
              <w:rPr>
                <w:rFonts w:ascii="Arial" w:hAnsi="Arial"/>
                <w:sz w:val="17"/>
              </w:rPr>
            </w:r>
            <w:r>
              <w:rPr>
                <w:rFonts w:ascii="Arial" w:hAnsi="Arial"/>
                <w:sz w:val="17"/>
              </w:rPr>
              <w:t>Seismic</w:t>
            </w:r>
          </w:p>
        </w:tc>
        <w:tc>
          <w:tcPr>
            <w:tcW w:type="dxa" w:w="4320"/>
          </w:tcPr>
          <w:p>
            <w:r>
              <w:rPr>
                <w:rFonts w:ascii="Arial" w:hAnsi="Arial"/>
                <w:sz w:val="17"/>
              </w:rPr>
            </w:r>
            <w:r>
              <w:rPr>
                <w:rFonts w:ascii="Arial" w:hAnsi="Arial"/>
                <w:sz w:val="17"/>
              </w:rPr>
              <w:t>Not applicable</w:t>
            </w:r>
          </w:p>
        </w:tc>
      </w:tr>
    </w:tbl>
    <w:p/>
    <w:p>
      <w:pPr>
        <w:pStyle w:val="Heading3"/>
      </w:pPr>
      <w:r>
        <w:t>2.3 Envelope</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7"/>
              </w:rPr>
            </w:r>
            <w:r>
              <w:rPr>
                <w:rFonts w:ascii="Arial" w:hAnsi="Arial"/>
                <w:b/>
                <w:sz w:val="17"/>
              </w:rPr>
              <w:t>Item</w:t>
            </w:r>
          </w:p>
        </w:tc>
        <w:tc>
          <w:tcPr>
            <w:tcW w:type="dxa" w:w="4320"/>
          </w:tcPr>
          <w:p>
            <w:r>
              <w:rPr>
                <w:rFonts w:ascii="Arial" w:hAnsi="Arial"/>
                <w:b/>
                <w:sz w:val="17"/>
              </w:rPr>
            </w:r>
            <w:r>
              <w:rPr>
                <w:rFonts w:ascii="Arial" w:hAnsi="Arial"/>
                <w:b/>
                <w:sz w:val="17"/>
              </w:rPr>
              <w:t>Requirement</w:t>
            </w:r>
          </w:p>
        </w:tc>
      </w:tr>
      <w:tr>
        <w:tc>
          <w:tcPr>
            <w:tcW w:type="dxa" w:w="4320"/>
          </w:tcPr>
          <w:p>
            <w:r>
              <w:rPr>
                <w:rFonts w:ascii="Arial" w:hAnsi="Arial"/>
                <w:sz w:val="17"/>
              </w:rPr>
            </w:r>
            <w:r>
              <w:rPr>
                <w:rFonts w:ascii="Arial" w:hAnsi="Arial"/>
                <w:sz w:val="17"/>
              </w:rPr>
              <w:t>U-values</w:t>
            </w:r>
          </w:p>
        </w:tc>
        <w:tc>
          <w:tcPr>
            <w:tcW w:type="dxa" w:w="4320"/>
          </w:tcPr>
          <w:p>
            <w:r>
              <w:rPr>
                <w:rFonts w:ascii="Arial" w:hAnsi="Arial"/>
                <w:sz w:val="17"/>
              </w:rPr>
            </w:r>
            <w:r>
              <w:rPr>
                <w:rFonts w:ascii="Arial" w:hAnsi="Arial"/>
                <w:sz w:val="17"/>
              </w:rPr>
              <w:t>Wall 0.17, roof 0.09, doors 1.0 W/m²K</w:t>
            </w:r>
          </w:p>
        </w:tc>
      </w:tr>
      <w:tr>
        <w:tc>
          <w:tcPr>
            <w:tcW w:type="dxa" w:w="4320"/>
          </w:tcPr>
          <w:p>
            <w:r>
              <w:rPr>
                <w:rFonts w:ascii="Arial" w:hAnsi="Arial"/>
                <w:sz w:val="17"/>
              </w:rPr>
            </w:r>
            <w:r>
              <w:rPr>
                <w:rFonts w:ascii="Arial" w:hAnsi="Arial"/>
                <w:sz w:val="17"/>
              </w:rPr>
              <w:t>Airtightness</w:t>
            </w:r>
          </w:p>
        </w:tc>
        <w:tc>
          <w:tcPr>
            <w:tcW w:type="dxa" w:w="4320"/>
          </w:tcPr>
          <w:p>
            <w:r>
              <w:rPr>
                <w:rFonts w:ascii="Arial" w:hAnsi="Arial"/>
                <w:sz w:val="17"/>
              </w:rPr>
            </w:r>
            <w:r>
              <w:rPr>
                <w:rFonts w:ascii="Arial" w:hAnsi="Arial"/>
                <w:sz w:val="17"/>
              </w:rPr>
              <w:t>q50 ≤ 1.0 m³/(h·m²)</w:t>
            </w:r>
          </w:p>
        </w:tc>
      </w:tr>
      <w:tr>
        <w:tc>
          <w:tcPr>
            <w:tcW w:type="dxa" w:w="4320"/>
          </w:tcPr>
          <w:p>
            <w:r>
              <w:rPr>
                <w:rFonts w:ascii="Arial" w:hAnsi="Arial"/>
                <w:sz w:val="17"/>
              </w:rPr>
            </w:r>
            <w:r>
              <w:rPr>
                <w:rFonts w:ascii="Arial" w:hAnsi="Arial"/>
                <w:sz w:val="17"/>
              </w:rPr>
              <w:t>Acoustic</w:t>
            </w:r>
          </w:p>
        </w:tc>
        <w:tc>
          <w:tcPr>
            <w:tcW w:type="dxa" w:w="4320"/>
          </w:tcPr>
          <w:p>
            <w:r>
              <w:rPr>
                <w:rFonts w:ascii="Arial" w:hAnsi="Arial"/>
                <w:sz w:val="17"/>
              </w:rPr>
            </w:r>
            <w:r>
              <w:rPr>
                <w:rFonts w:ascii="Arial" w:hAnsi="Arial"/>
                <w:sz w:val="17"/>
              </w:rPr>
              <w:t>45 dB(A) at the north-east residential boundary, night-time</w:t>
            </w:r>
          </w:p>
        </w:tc>
      </w:tr>
      <w:tr>
        <w:tc>
          <w:tcPr>
            <w:tcW w:type="dxa" w:w="4320"/>
          </w:tcPr>
          <w:p>
            <w:r>
              <w:rPr>
                <w:rFonts w:ascii="Arial" w:hAnsi="Arial"/>
                <w:sz w:val="17"/>
              </w:rPr>
            </w:r>
            <w:r>
              <w:rPr>
                <w:rFonts w:ascii="Arial" w:hAnsi="Arial"/>
                <w:sz w:val="17"/>
              </w:rPr>
              <w:t>Louvres</w:t>
            </w:r>
          </w:p>
        </w:tc>
        <w:tc>
          <w:tcPr>
            <w:tcW w:type="dxa" w:w="4320"/>
          </w:tcPr>
          <w:p>
            <w:r>
              <w:rPr>
                <w:rFonts w:ascii="Arial" w:hAnsi="Arial"/>
                <w:sz w:val="17"/>
              </w:rPr>
            </w:r>
            <w:r>
              <w:rPr>
                <w:rFonts w:ascii="Arial" w:hAnsi="Arial"/>
                <w:sz w:val="17"/>
              </w:rPr>
              <w:t>Weather-and-bird resistant, coordinated with cooling intake velocities</w:t>
            </w:r>
          </w:p>
        </w:tc>
      </w:tr>
      <w:tr>
        <w:tc>
          <w:tcPr>
            <w:tcW w:type="dxa" w:w="4320"/>
          </w:tcPr>
          <w:p>
            <w:r>
              <w:rPr>
                <w:rFonts w:ascii="Arial" w:hAnsi="Arial"/>
                <w:sz w:val="17"/>
              </w:rPr>
            </w:r>
            <w:r>
              <w:rPr>
                <w:rFonts w:ascii="Arial" w:hAnsi="Arial"/>
                <w:sz w:val="17"/>
              </w:rPr>
              <w:t>Fire</w:t>
            </w:r>
          </w:p>
        </w:tc>
        <w:tc>
          <w:tcPr>
            <w:tcW w:type="dxa" w:w="4320"/>
          </w:tcPr>
          <w:p>
            <w:r>
              <w:rPr>
                <w:rFonts w:ascii="Arial" w:hAnsi="Arial"/>
                <w:sz w:val="17"/>
              </w:rPr>
            </w:r>
            <w:r>
              <w:rPr>
                <w:rFonts w:ascii="Arial" w:hAnsi="Arial"/>
                <w:sz w:val="17"/>
              </w:rPr>
              <w:t>External wall reaction-to-fire class per National Building Code</w:t>
            </w:r>
          </w:p>
        </w:tc>
      </w:tr>
    </w:tbl>
    <w:p/>
    <w:p>
      <w:r>
        <w:rPr>
          <w:color w:val="BBBBBB"/>
        </w:rPr>
        <w:t>____________________________________________________________</w:t>
      </w:r>
    </w:p>
    <w:p>
      <w:pPr>
        <w:pStyle w:val="Heading2"/>
      </w:pPr>
      <w:r>
        <w:t>3. ELECTRICAL REQUIREMENTS</w:t>
      </w:r>
    </w:p>
    <w:p>
      <w:pPr>
        <w:pStyle w:val="Heading3"/>
      </w:pPr>
      <w:r>
        <w:t>3.1 Capacity and topology</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7"/>
              </w:rPr>
            </w:r>
            <w:r>
              <w:rPr>
                <w:rFonts w:ascii="Arial" w:hAnsi="Arial"/>
                <w:b/>
                <w:sz w:val="17"/>
              </w:rPr>
              <w:t>Item</w:t>
            </w:r>
          </w:p>
        </w:tc>
        <w:tc>
          <w:tcPr>
            <w:tcW w:type="dxa" w:w="4320"/>
          </w:tcPr>
          <w:p>
            <w:r>
              <w:rPr>
                <w:rFonts w:ascii="Arial" w:hAnsi="Arial"/>
                <w:b/>
                <w:sz w:val="17"/>
              </w:rPr>
            </w:r>
            <w:r>
              <w:rPr>
                <w:rFonts w:ascii="Arial" w:hAnsi="Arial"/>
                <w:b/>
                <w:sz w:val="17"/>
              </w:rPr>
              <w:t>Requirement</w:t>
            </w:r>
          </w:p>
        </w:tc>
      </w:tr>
      <w:tr>
        <w:tc>
          <w:tcPr>
            <w:tcW w:type="dxa" w:w="4320"/>
          </w:tcPr>
          <w:p>
            <w:r>
              <w:rPr>
                <w:rFonts w:ascii="Arial" w:hAnsi="Arial"/>
                <w:sz w:val="17"/>
              </w:rPr>
            </w:r>
            <w:r>
              <w:rPr>
                <w:rFonts w:ascii="Arial" w:hAnsi="Arial"/>
                <w:sz w:val="17"/>
              </w:rPr>
              <w:t>IT load</w:t>
            </w:r>
          </w:p>
        </w:tc>
        <w:tc>
          <w:tcPr>
            <w:tcW w:type="dxa" w:w="4320"/>
          </w:tcPr>
          <w:p>
            <w:r>
              <w:rPr>
                <w:rFonts w:ascii="Arial" w:hAnsi="Arial"/>
                <w:sz w:val="17"/>
              </w:rPr>
            </w:r>
            <w:r>
              <w:rPr>
                <w:rFonts w:ascii="Arial" w:hAnsi="Arial"/>
                <w:sz w:val="17"/>
              </w:rPr>
              <w:t>2.5 MW per hall, 10 MW total</w:t>
            </w:r>
          </w:p>
        </w:tc>
      </w:tr>
      <w:tr>
        <w:tc>
          <w:tcPr>
            <w:tcW w:type="dxa" w:w="4320"/>
          </w:tcPr>
          <w:p>
            <w:r>
              <w:rPr>
                <w:rFonts w:ascii="Arial" w:hAnsi="Arial"/>
                <w:sz w:val="17"/>
              </w:rPr>
            </w:r>
            <w:r>
              <w:rPr>
                <w:rFonts w:ascii="Arial" w:hAnsi="Arial"/>
                <w:sz w:val="17"/>
              </w:rPr>
              <w:t>Design rack density</w:t>
            </w:r>
          </w:p>
        </w:tc>
        <w:tc>
          <w:tcPr>
            <w:tcW w:type="dxa" w:w="4320"/>
          </w:tcPr>
          <w:p>
            <w:r>
              <w:rPr>
                <w:rFonts w:ascii="Arial" w:hAnsi="Arial"/>
                <w:sz w:val="17"/>
              </w:rPr>
            </w:r>
            <w:r>
              <w:rPr>
                <w:rFonts w:ascii="Arial" w:hAnsi="Arial"/>
                <w:sz w:val="17"/>
              </w:rPr>
              <w:t>8 kW average, 15 kW peak per rack</w:t>
            </w:r>
          </w:p>
        </w:tc>
      </w:tr>
      <w:tr>
        <w:tc>
          <w:tcPr>
            <w:tcW w:type="dxa" w:w="4320"/>
          </w:tcPr>
          <w:p>
            <w:r>
              <w:rPr>
                <w:rFonts w:ascii="Arial" w:hAnsi="Arial"/>
                <w:sz w:val="17"/>
              </w:rPr>
            </w:r>
            <w:r>
              <w:rPr>
                <w:rFonts w:ascii="Arial" w:hAnsi="Arial"/>
                <w:sz w:val="17"/>
              </w:rPr>
              <w:t>Incoming supply</w:t>
            </w:r>
          </w:p>
        </w:tc>
        <w:tc>
          <w:tcPr>
            <w:tcW w:type="dxa" w:w="4320"/>
          </w:tcPr>
          <w:p>
            <w:r>
              <w:rPr>
                <w:rFonts w:ascii="Arial" w:hAnsi="Arial"/>
                <w:sz w:val="17"/>
              </w:rPr>
            </w:r>
            <w:r>
              <w:rPr>
                <w:rFonts w:ascii="Arial" w:hAnsi="Arial"/>
                <w:sz w:val="17"/>
              </w:rPr>
              <w:t>110 kV, transformed to 20 kV on site, dual 110/20 kV transformers</w:t>
            </w:r>
          </w:p>
        </w:tc>
      </w:tr>
      <w:tr>
        <w:tc>
          <w:tcPr>
            <w:tcW w:type="dxa" w:w="4320"/>
          </w:tcPr>
          <w:p>
            <w:r>
              <w:rPr>
                <w:rFonts w:ascii="Arial" w:hAnsi="Arial"/>
                <w:sz w:val="17"/>
              </w:rPr>
            </w:r>
            <w:r>
              <w:rPr>
                <w:rFonts w:ascii="Arial" w:hAnsi="Arial"/>
                <w:sz w:val="17"/>
              </w:rPr>
              <w:t>Distribution</w:t>
            </w:r>
          </w:p>
        </w:tc>
        <w:tc>
          <w:tcPr>
            <w:tcW w:type="dxa" w:w="4320"/>
          </w:tcPr>
          <w:p>
            <w:r>
              <w:rPr>
                <w:rFonts w:ascii="Arial" w:hAnsi="Arial"/>
                <w:sz w:val="17"/>
              </w:rPr>
            </w:r>
            <w:r>
              <w:rPr>
                <w:rFonts w:ascii="Arial" w:hAnsi="Arial"/>
                <w:sz w:val="17"/>
              </w:rPr>
              <w:t>20 kV ring to hall substations, 400 V distribution via busway</w:t>
            </w:r>
          </w:p>
        </w:tc>
      </w:tr>
      <w:tr>
        <w:tc>
          <w:tcPr>
            <w:tcW w:type="dxa" w:w="4320"/>
          </w:tcPr>
          <w:p>
            <w:r>
              <w:rPr>
                <w:rFonts w:ascii="Arial" w:hAnsi="Arial"/>
                <w:sz w:val="17"/>
              </w:rPr>
            </w:r>
            <w:r>
              <w:rPr>
                <w:rFonts w:ascii="Arial" w:hAnsi="Arial"/>
                <w:sz w:val="17"/>
              </w:rPr>
              <w:t>Redundancy</w:t>
            </w:r>
          </w:p>
        </w:tc>
        <w:tc>
          <w:tcPr>
            <w:tcW w:type="dxa" w:w="4320"/>
          </w:tcPr>
          <w:p>
            <w:r>
              <w:rPr>
                <w:rFonts w:ascii="Arial" w:hAnsi="Arial"/>
                <w:sz w:val="17"/>
              </w:rPr>
            </w:r>
            <w:r>
              <w:rPr>
                <w:rFonts w:ascii="Arial" w:hAnsi="Arial"/>
                <w:sz w:val="17"/>
              </w:rPr>
              <w:t>N+1 at every level between incoming transformer and rack PDU</w:t>
            </w:r>
          </w:p>
        </w:tc>
      </w:tr>
      <w:tr>
        <w:tc>
          <w:tcPr>
            <w:tcW w:type="dxa" w:w="4320"/>
          </w:tcPr>
          <w:p>
            <w:r>
              <w:rPr>
                <w:rFonts w:ascii="Arial" w:hAnsi="Arial"/>
                <w:sz w:val="17"/>
              </w:rPr>
            </w:r>
            <w:r>
              <w:rPr>
                <w:rFonts w:ascii="Arial" w:hAnsi="Arial"/>
                <w:sz w:val="17"/>
              </w:rPr>
              <w:t>Concurrent maintainability</w:t>
            </w:r>
          </w:p>
        </w:tc>
        <w:tc>
          <w:tcPr>
            <w:tcW w:type="dxa" w:w="4320"/>
          </w:tcPr>
          <w:p>
            <w:r>
              <w:rPr>
                <w:rFonts w:ascii="Arial" w:hAnsi="Arial"/>
                <w:sz w:val="17"/>
              </w:rPr>
            </w:r>
            <w:r>
              <w:rPr>
                <w:rFonts w:ascii="Arial" w:hAnsi="Arial"/>
                <w:sz w:val="17"/>
              </w:rPr>
              <w:t>Any single item of plant removable for maintenance without loss of IT load</w:t>
            </w:r>
          </w:p>
        </w:tc>
      </w:tr>
      <w:tr>
        <w:tc>
          <w:tcPr>
            <w:tcW w:type="dxa" w:w="4320"/>
          </w:tcPr>
          <w:p>
            <w:r>
              <w:rPr>
                <w:rFonts w:ascii="Arial" w:hAnsi="Arial"/>
                <w:sz w:val="17"/>
              </w:rPr>
            </w:r>
            <w:r>
              <w:rPr>
                <w:rFonts w:ascii="Arial" w:hAnsi="Arial"/>
                <w:sz w:val="17"/>
              </w:rPr>
              <w:t>Standby generation</w:t>
            </w:r>
          </w:p>
        </w:tc>
        <w:tc>
          <w:tcPr>
            <w:tcW w:type="dxa" w:w="4320"/>
          </w:tcPr>
          <w:p>
            <w:r>
              <w:rPr>
                <w:rFonts w:ascii="Arial" w:hAnsi="Arial"/>
                <w:sz w:val="17"/>
              </w:rPr>
            </w:r>
            <w:r>
              <w:rPr>
                <w:rFonts w:ascii="Arial" w:hAnsi="Arial"/>
                <w:sz w:val="17"/>
              </w:rPr>
              <w:t>8 × 2.5 MVA diesel, N+1 for the full site load including cooling</w:t>
            </w:r>
          </w:p>
        </w:tc>
      </w:tr>
      <w:tr>
        <w:tc>
          <w:tcPr>
            <w:tcW w:type="dxa" w:w="4320"/>
          </w:tcPr>
          <w:p>
            <w:r>
              <w:rPr>
                <w:rFonts w:ascii="Arial" w:hAnsi="Arial"/>
                <w:sz w:val="17"/>
              </w:rPr>
            </w:r>
            <w:r>
              <w:rPr>
                <w:rFonts w:ascii="Arial" w:hAnsi="Arial"/>
                <w:sz w:val="17"/>
              </w:rPr>
              <w:t>Fuel storage</w:t>
            </w:r>
          </w:p>
        </w:tc>
        <w:tc>
          <w:tcPr>
            <w:tcW w:type="dxa" w:w="4320"/>
          </w:tcPr>
          <w:p>
            <w:r>
              <w:rPr>
                <w:rFonts w:ascii="Arial" w:hAnsi="Arial"/>
                <w:sz w:val="17"/>
              </w:rPr>
            </w:r>
            <w:r>
              <w:rPr>
                <w:rFonts w:ascii="Arial" w:hAnsi="Arial"/>
                <w:sz w:val="17"/>
              </w:rPr>
              <w:t>48 hours at full load, bunded, with a fuel polishing system</w:t>
            </w:r>
          </w:p>
        </w:tc>
      </w:tr>
      <w:tr>
        <w:tc>
          <w:tcPr>
            <w:tcW w:type="dxa" w:w="4320"/>
          </w:tcPr>
          <w:p>
            <w:r>
              <w:rPr>
                <w:rFonts w:ascii="Arial" w:hAnsi="Arial"/>
                <w:sz w:val="17"/>
              </w:rPr>
            </w:r>
            <w:r>
              <w:rPr>
                <w:rFonts w:ascii="Arial" w:hAnsi="Arial"/>
                <w:sz w:val="17"/>
              </w:rPr>
              <w:t>UPS</w:t>
            </w:r>
          </w:p>
        </w:tc>
        <w:tc>
          <w:tcPr>
            <w:tcW w:type="dxa" w:w="4320"/>
          </w:tcPr>
          <w:p>
            <w:r>
              <w:rPr>
                <w:rFonts w:ascii="Arial" w:hAnsi="Arial"/>
                <w:sz w:val="17"/>
              </w:rPr>
            </w:r>
            <w:r>
              <w:rPr>
                <w:rFonts w:ascii="Arial" w:hAnsi="Arial"/>
                <w:sz w:val="17"/>
              </w:rPr>
              <w:t>Static, double conversion, N+1 per hall, 5 minutes autonomy at full load</w:t>
            </w:r>
          </w:p>
        </w:tc>
      </w:tr>
      <w:tr>
        <w:tc>
          <w:tcPr>
            <w:tcW w:type="dxa" w:w="4320"/>
          </w:tcPr>
          <w:p>
            <w:r>
              <w:rPr>
                <w:rFonts w:ascii="Arial" w:hAnsi="Arial"/>
                <w:sz w:val="17"/>
              </w:rPr>
            </w:r>
            <w:r>
              <w:rPr>
                <w:rFonts w:ascii="Arial" w:hAnsi="Arial"/>
                <w:sz w:val="17"/>
              </w:rPr>
              <w:t>Batteries</w:t>
            </w:r>
          </w:p>
        </w:tc>
        <w:tc>
          <w:tcPr>
            <w:tcW w:type="dxa" w:w="4320"/>
          </w:tcPr>
          <w:p>
            <w:r>
              <w:rPr>
                <w:rFonts w:ascii="Arial" w:hAnsi="Arial"/>
                <w:sz w:val="17"/>
              </w:rPr>
            </w:r>
            <w:r>
              <w:rPr>
                <w:rFonts w:ascii="Arial" w:hAnsi="Arial"/>
                <w:sz w:val="17"/>
              </w:rPr>
              <w:t>VRLA or lithium-ion; if lithium, dedicated fire strategy required</w:t>
            </w:r>
          </w:p>
        </w:tc>
      </w:tr>
      <w:tr>
        <w:tc>
          <w:tcPr>
            <w:tcW w:type="dxa" w:w="4320"/>
          </w:tcPr>
          <w:p>
            <w:r>
              <w:rPr>
                <w:rFonts w:ascii="Arial" w:hAnsi="Arial"/>
                <w:sz w:val="17"/>
              </w:rPr>
            </w:r>
            <w:r>
              <w:rPr>
                <w:rFonts w:ascii="Arial" w:hAnsi="Arial"/>
                <w:sz w:val="17"/>
              </w:rPr>
              <w:t>Earthing</w:t>
            </w:r>
          </w:p>
        </w:tc>
        <w:tc>
          <w:tcPr>
            <w:tcW w:type="dxa" w:w="4320"/>
          </w:tcPr>
          <w:p>
            <w:r>
              <w:rPr>
                <w:rFonts w:ascii="Arial" w:hAnsi="Arial"/>
                <w:sz w:val="17"/>
              </w:rPr>
            </w:r>
            <w:r>
              <w:rPr>
                <w:rFonts w:ascii="Arial" w:hAnsi="Arial"/>
                <w:sz w:val="17"/>
              </w:rPr>
              <w:t>Common bonding network, TN-S</w:t>
            </w:r>
          </w:p>
        </w:tc>
      </w:tr>
      <w:tr>
        <w:tc>
          <w:tcPr>
            <w:tcW w:type="dxa" w:w="4320"/>
          </w:tcPr>
          <w:p>
            <w:r>
              <w:rPr>
                <w:rFonts w:ascii="Arial" w:hAnsi="Arial"/>
                <w:sz w:val="17"/>
              </w:rPr>
            </w:r>
            <w:r>
              <w:rPr>
                <w:rFonts w:ascii="Arial" w:hAnsi="Arial"/>
                <w:sz w:val="17"/>
              </w:rPr>
              <w:t>Metering</w:t>
            </w:r>
          </w:p>
        </w:tc>
        <w:tc>
          <w:tcPr>
            <w:tcW w:type="dxa" w:w="4320"/>
          </w:tcPr>
          <w:p>
            <w:r>
              <w:rPr>
                <w:rFonts w:ascii="Arial" w:hAnsi="Arial"/>
                <w:sz w:val="17"/>
              </w:rPr>
            </w:r>
            <w:r>
              <w:rPr>
                <w:rFonts w:ascii="Arial" w:hAnsi="Arial"/>
                <w:sz w:val="17"/>
              </w:rPr>
              <w:t>Per-hall and per-feed energy metering reporting to the DCIM</w:t>
            </w:r>
          </w:p>
        </w:tc>
      </w:tr>
    </w:tbl>
    <w:p/>
    <w:p>
      <w:pPr>
        <w:pStyle w:val="Heading3"/>
      </w:pPr>
      <w:r>
        <w:t>3.2 Power quality and switching</w:t>
      </w:r>
    </w:p>
    <w:p>
      <w:pPr>
        <w:pStyle w:val="ListBullet"/>
      </w:pPr>
      <w:r>
        <w:t xml:space="preserve">Automatic transfer to standby generation within </w:t>
      </w:r>
      <w:r>
        <w:rPr>
          <w:b/>
        </w:rPr>
        <w:t>10 seconds</w:t>
      </w:r>
      <w:r>
        <w:t xml:space="preserve"> of loss of</w:t>
      </w:r>
    </w:p>
    <w:p>
      <w:r>
        <w:t xml:space="preserve">  incoming supply, with UPS carrying the load in the interim.</w:t>
      </w:r>
    </w:p>
    <w:p>
      <w:pPr>
        <w:pStyle w:val="ListBullet"/>
      </w:pPr>
      <w:r>
        <w:t>No single point of failure in the control system for generator start.</w:t>
      </w:r>
    </w:p>
    <w:p>
      <w:pPr>
        <w:pStyle w:val="ListBullet"/>
      </w:pPr>
      <w:r>
        <w:t>Generator load acceptance to be demonstrated at full block load during</w:t>
      </w:r>
    </w:p>
    <w:p>
      <w:r>
        <w:t xml:space="preserve">  commissioning.</w:t>
      </w:r>
    </w:p>
    <w:p>
      <w:r>
        <w:rPr>
          <w:color w:val="BBBBBB"/>
        </w:rPr>
        <w:t>____________________________________________________________</w:t>
      </w:r>
    </w:p>
    <w:p>
      <w:pPr>
        <w:pStyle w:val="Heading2"/>
      </w:pPr>
      <w:r>
        <w:t>4. MECHANICAL REQUIREMENTS</w:t>
      </w:r>
    </w:p>
    <w:p>
      <w:pPr>
        <w:pStyle w:val="Heading3"/>
      </w:pPr>
      <w:r>
        <w:t>4.1 Cooling</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7"/>
              </w:rPr>
            </w:r>
            <w:r>
              <w:rPr>
                <w:rFonts w:ascii="Arial" w:hAnsi="Arial"/>
                <w:b/>
                <w:sz w:val="17"/>
              </w:rPr>
              <w:t>Item</w:t>
            </w:r>
          </w:p>
        </w:tc>
        <w:tc>
          <w:tcPr>
            <w:tcW w:type="dxa" w:w="4320"/>
          </w:tcPr>
          <w:p>
            <w:r>
              <w:rPr>
                <w:rFonts w:ascii="Arial" w:hAnsi="Arial"/>
                <w:b/>
                <w:sz w:val="17"/>
              </w:rPr>
            </w:r>
            <w:r>
              <w:rPr>
                <w:rFonts w:ascii="Arial" w:hAnsi="Arial"/>
                <w:b/>
                <w:sz w:val="17"/>
              </w:rPr>
              <w:t>Requirement</w:t>
            </w:r>
          </w:p>
        </w:tc>
      </w:tr>
      <w:tr>
        <w:tc>
          <w:tcPr>
            <w:tcW w:type="dxa" w:w="4320"/>
          </w:tcPr>
          <w:p>
            <w:r>
              <w:rPr>
                <w:rFonts w:ascii="Arial" w:hAnsi="Arial"/>
                <w:sz w:val="17"/>
              </w:rPr>
            </w:r>
            <w:r>
              <w:rPr>
                <w:rFonts w:ascii="Arial" w:hAnsi="Arial"/>
                <w:sz w:val="17"/>
              </w:rPr>
              <w:t>Strategy</w:t>
            </w:r>
          </w:p>
        </w:tc>
        <w:tc>
          <w:tcPr>
            <w:tcW w:type="dxa" w:w="4320"/>
          </w:tcPr>
          <w:p>
            <w:r>
              <w:rPr>
                <w:rFonts w:ascii="Arial" w:hAnsi="Arial"/>
                <w:sz w:val="17"/>
              </w:rPr>
            </w:r>
            <w:r>
              <w:rPr>
                <w:rFonts w:ascii="Arial" w:hAnsi="Arial"/>
                <w:sz w:val="17"/>
              </w:rPr>
              <w:t>Indirect adiabatic free cooling as the primary mode, chilled water as backup</w:t>
            </w:r>
          </w:p>
        </w:tc>
      </w:tr>
      <w:tr>
        <w:tc>
          <w:tcPr>
            <w:tcW w:type="dxa" w:w="4320"/>
          </w:tcPr>
          <w:p>
            <w:r>
              <w:rPr>
                <w:rFonts w:ascii="Arial" w:hAnsi="Arial"/>
                <w:sz w:val="17"/>
              </w:rPr>
            </w:r>
            <w:r>
              <w:rPr>
                <w:rFonts w:ascii="Arial" w:hAnsi="Arial"/>
                <w:sz w:val="17"/>
              </w:rPr>
              <w:t>Design external condition</w:t>
            </w:r>
          </w:p>
        </w:tc>
        <w:tc>
          <w:tcPr>
            <w:tcW w:type="dxa" w:w="4320"/>
          </w:tcPr>
          <w:p>
            <w:r>
              <w:rPr>
                <w:rFonts w:ascii="Arial" w:hAnsi="Arial"/>
                <w:sz w:val="17"/>
              </w:rPr>
            </w:r>
            <w:r>
              <w:rPr>
                <w:rFonts w:ascii="Arial" w:hAnsi="Arial"/>
                <w:sz w:val="17"/>
              </w:rPr>
              <w:t>Summer +29 °C dry bulb / +19 °C wet bulb; winter −29 °C</w:t>
            </w:r>
          </w:p>
        </w:tc>
      </w:tr>
      <w:tr>
        <w:tc>
          <w:tcPr>
            <w:tcW w:type="dxa" w:w="4320"/>
          </w:tcPr>
          <w:p>
            <w:r>
              <w:rPr>
                <w:rFonts w:ascii="Arial" w:hAnsi="Arial"/>
                <w:sz w:val="17"/>
              </w:rPr>
            </w:r>
            <w:r>
              <w:rPr>
                <w:rFonts w:ascii="Arial" w:hAnsi="Arial"/>
                <w:sz w:val="17"/>
              </w:rPr>
              <w:t>White space supply temperature</w:t>
            </w:r>
          </w:p>
        </w:tc>
        <w:tc>
          <w:tcPr>
            <w:tcW w:type="dxa" w:w="4320"/>
          </w:tcPr>
          <w:p>
            <w:r>
              <w:rPr>
                <w:rFonts w:ascii="Arial" w:hAnsi="Arial"/>
                <w:sz w:val="17"/>
              </w:rPr>
            </w:r>
            <w:r>
              <w:rPr>
                <w:rFonts w:ascii="Arial" w:hAnsi="Arial"/>
                <w:sz w:val="17"/>
              </w:rPr>
              <w:t>24 °C ± 1.5 K at rack inlet</w:t>
            </w:r>
          </w:p>
        </w:tc>
      </w:tr>
      <w:tr>
        <w:tc>
          <w:tcPr>
            <w:tcW w:type="dxa" w:w="4320"/>
          </w:tcPr>
          <w:p>
            <w:r>
              <w:rPr>
                <w:rFonts w:ascii="Arial" w:hAnsi="Arial"/>
                <w:sz w:val="17"/>
              </w:rPr>
            </w:r>
            <w:r>
              <w:rPr>
                <w:rFonts w:ascii="Arial" w:hAnsi="Arial"/>
                <w:sz w:val="17"/>
              </w:rPr>
              <w:t>Humidity</w:t>
            </w:r>
          </w:p>
        </w:tc>
        <w:tc>
          <w:tcPr>
            <w:tcW w:type="dxa" w:w="4320"/>
          </w:tcPr>
          <w:p>
            <w:r>
              <w:rPr>
                <w:rFonts w:ascii="Arial" w:hAnsi="Arial"/>
                <w:sz w:val="17"/>
              </w:rPr>
            </w:r>
            <w:r>
              <w:rPr>
                <w:rFonts w:ascii="Arial" w:hAnsi="Arial"/>
                <w:sz w:val="17"/>
              </w:rPr>
              <w:t>20–70% RH non-condensing</w:t>
            </w:r>
          </w:p>
        </w:tc>
      </w:tr>
      <w:tr>
        <w:tc>
          <w:tcPr>
            <w:tcW w:type="dxa" w:w="4320"/>
          </w:tcPr>
          <w:p>
            <w:r>
              <w:rPr>
                <w:rFonts w:ascii="Arial" w:hAnsi="Arial"/>
                <w:sz w:val="17"/>
              </w:rPr>
            </w:r>
            <w:r>
              <w:rPr>
                <w:rFonts w:ascii="Arial" w:hAnsi="Arial"/>
                <w:sz w:val="17"/>
              </w:rPr>
              <w:t>Redundancy</w:t>
            </w:r>
          </w:p>
        </w:tc>
        <w:tc>
          <w:tcPr>
            <w:tcW w:type="dxa" w:w="4320"/>
          </w:tcPr>
          <w:p>
            <w:r>
              <w:rPr>
                <w:rFonts w:ascii="Arial" w:hAnsi="Arial"/>
                <w:sz w:val="17"/>
              </w:rPr>
            </w:r>
            <w:r>
              <w:rPr>
                <w:rFonts w:ascii="Arial" w:hAnsi="Arial"/>
                <w:sz w:val="17"/>
              </w:rPr>
              <w:t>N+1 per hall, concurrently maintainable</w:t>
            </w:r>
          </w:p>
        </w:tc>
      </w:tr>
      <w:tr>
        <w:tc>
          <w:tcPr>
            <w:tcW w:type="dxa" w:w="4320"/>
          </w:tcPr>
          <w:p>
            <w:r>
              <w:rPr>
                <w:rFonts w:ascii="Arial" w:hAnsi="Arial"/>
                <w:sz w:val="17"/>
              </w:rPr>
            </w:r>
            <w:r>
              <w:rPr>
                <w:rFonts w:ascii="Arial" w:hAnsi="Arial"/>
                <w:sz w:val="17"/>
              </w:rPr>
              <w:t>Free cooling hours</w:t>
            </w:r>
          </w:p>
        </w:tc>
        <w:tc>
          <w:tcPr>
            <w:tcW w:type="dxa" w:w="4320"/>
          </w:tcPr>
          <w:p>
            <w:r>
              <w:rPr>
                <w:rFonts w:ascii="Arial" w:hAnsi="Arial"/>
                <w:sz w:val="17"/>
              </w:rPr>
            </w:r>
            <w:r>
              <w:rPr>
                <w:rFonts w:ascii="Arial" w:hAnsi="Arial"/>
                <w:sz w:val="17"/>
              </w:rPr>
              <w:t>≥ 8,300 hours per year without mechanical assistance</w:t>
            </w:r>
          </w:p>
        </w:tc>
      </w:tr>
      <w:tr>
        <w:tc>
          <w:tcPr>
            <w:tcW w:type="dxa" w:w="4320"/>
          </w:tcPr>
          <w:p>
            <w:r>
              <w:rPr>
                <w:rFonts w:ascii="Arial" w:hAnsi="Arial"/>
                <w:sz w:val="17"/>
              </w:rPr>
            </w:r>
            <w:r>
              <w:rPr>
                <w:rFonts w:ascii="Arial" w:hAnsi="Arial"/>
                <w:sz w:val="17"/>
              </w:rPr>
              <w:t>Air management</w:t>
            </w:r>
          </w:p>
        </w:tc>
        <w:tc>
          <w:tcPr>
            <w:tcW w:type="dxa" w:w="4320"/>
          </w:tcPr>
          <w:p>
            <w:r>
              <w:rPr>
                <w:rFonts w:ascii="Arial" w:hAnsi="Arial"/>
                <w:sz w:val="17"/>
              </w:rPr>
            </w:r>
            <w:r>
              <w:rPr>
                <w:rFonts w:ascii="Arial" w:hAnsi="Arial"/>
                <w:sz w:val="17"/>
              </w:rPr>
              <w:t>Cold-aisle containment, overhead supply</w:t>
            </w:r>
          </w:p>
        </w:tc>
      </w:tr>
      <w:tr>
        <w:tc>
          <w:tcPr>
            <w:tcW w:type="dxa" w:w="4320"/>
          </w:tcPr>
          <w:p>
            <w:r>
              <w:rPr>
                <w:rFonts w:ascii="Arial" w:hAnsi="Arial"/>
                <w:sz w:val="17"/>
              </w:rPr>
            </w:r>
            <w:r>
              <w:rPr>
                <w:rFonts w:ascii="Arial" w:hAnsi="Arial"/>
                <w:sz w:val="17"/>
              </w:rPr>
              <w:t>Pipework</w:t>
            </w:r>
          </w:p>
        </w:tc>
        <w:tc>
          <w:tcPr>
            <w:tcW w:type="dxa" w:w="4320"/>
          </w:tcPr>
          <w:p>
            <w:r>
              <w:rPr>
                <w:rFonts w:ascii="Arial" w:hAnsi="Arial"/>
                <w:sz w:val="17"/>
              </w:rPr>
            </w:r>
            <w:r>
              <w:rPr>
                <w:rFonts w:ascii="Arial" w:hAnsi="Arial"/>
                <w:sz w:val="17"/>
              </w:rPr>
              <w:t>Pre-insulated, welded, pressure tested; glycol concentration per winter design</w:t>
            </w:r>
          </w:p>
        </w:tc>
      </w:tr>
      <w:tr>
        <w:tc>
          <w:tcPr>
            <w:tcW w:type="dxa" w:w="4320"/>
          </w:tcPr>
          <w:p>
            <w:r>
              <w:rPr>
                <w:rFonts w:ascii="Arial" w:hAnsi="Arial"/>
                <w:sz w:val="17"/>
              </w:rPr>
            </w:r>
            <w:r>
              <w:rPr>
                <w:rFonts w:ascii="Arial" w:hAnsi="Arial"/>
                <w:sz w:val="17"/>
              </w:rPr>
              <w:t>Water use</w:t>
            </w:r>
          </w:p>
        </w:tc>
        <w:tc>
          <w:tcPr>
            <w:tcW w:type="dxa" w:w="4320"/>
          </w:tcPr>
          <w:p>
            <w:r>
              <w:rPr>
                <w:rFonts w:ascii="Arial" w:hAnsi="Arial"/>
                <w:sz w:val="17"/>
              </w:rPr>
            </w:r>
            <w:r>
              <w:rPr>
                <w:rFonts w:ascii="Arial" w:hAnsi="Arial"/>
                <w:sz w:val="17"/>
              </w:rPr>
              <w:t>Adiabatic make-up limited to 12,000 m³/year site-wide (WUE constraint)</w:t>
            </w:r>
          </w:p>
        </w:tc>
      </w:tr>
    </w:tbl>
    <w:p/>
    <w:p>
      <w:pPr>
        <w:pStyle w:val="Heading3"/>
      </w:pPr>
      <w:r>
        <w:t>4.2 Waste-heat recovery</w:t>
      </w:r>
    </w:p>
    <w:p>
      <w:r>
        <w:t xml:space="preserve">Heat recovery plant shall deliver </w:t>
      </w:r>
      <w:r>
        <w:rPr>
          <w:b/>
        </w:rPr>
        <w:t>not less than 4 MW thermal</w:t>
      </w:r>
      <w:r>
        <w:t xml:space="preserve"> at a flow temperature of </w:t>
      </w:r>
      <w:r>
        <w:rPr>
          <w:b/>
        </w:rPr>
        <w:t>not less than 70 °C</w:t>
      </w:r>
      <w:r>
        <w:t xml:space="preserve"> to the boundary connection, available whenever site IT load exceeds 40%. The recovery plant shall not compromise the cooling redundancy or the PUE guarantee. Refer to PDC-DH-001.</w:t>
      </w:r>
    </w:p>
    <w:p>
      <w:pPr>
        <w:pStyle w:val="Heading3"/>
      </w:pPr>
      <w:r>
        <w:t>4.3 Performance guarantees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7"/>
              </w:rPr>
            </w:r>
            <w:r>
              <w:rPr>
                <w:rFonts w:ascii="Arial" w:hAnsi="Arial"/>
                <w:b/>
                <w:sz w:val="17"/>
              </w:rPr>
              <w:t>Guarantee</w:t>
            </w:r>
          </w:p>
        </w:tc>
        <w:tc>
          <w:tcPr>
            <w:tcW w:type="dxa" w:w="2880"/>
          </w:tcPr>
          <w:p>
            <w:r>
              <w:rPr>
                <w:rFonts w:ascii="Arial" w:hAnsi="Arial"/>
                <w:b/>
                <w:sz w:val="17"/>
              </w:rPr>
            </w:r>
            <w:r>
              <w:rPr>
                <w:rFonts w:ascii="Arial" w:hAnsi="Arial"/>
                <w:b/>
                <w:sz w:val="17"/>
              </w:rPr>
              <w:t>Value</w:t>
            </w:r>
          </w:p>
        </w:tc>
        <w:tc>
          <w:tcPr>
            <w:tcW w:type="dxa" w:w="2880"/>
          </w:tcPr>
          <w:p>
            <w:r>
              <w:rPr>
                <w:rFonts w:ascii="Arial" w:hAnsi="Arial"/>
                <w:b/>
                <w:sz w:val="17"/>
              </w:rPr>
            </w:r>
            <w:r>
              <w:rPr>
                <w:rFonts w:ascii="Arial" w:hAnsi="Arial"/>
                <w:b/>
                <w:sz w:val="17"/>
              </w:rPr>
              <w:t>Basis of demonstration</w:t>
            </w:r>
          </w:p>
        </w:tc>
      </w:tr>
      <w:tr>
        <w:tc>
          <w:tcPr>
            <w:tcW w:type="dxa" w:w="2880"/>
          </w:tcPr>
          <w:p>
            <w:r>
              <w:rPr>
                <w:rFonts w:ascii="Arial" w:hAnsi="Arial"/>
                <w:sz w:val="17"/>
              </w:rPr>
            </w:r>
            <w:r>
              <w:rPr>
                <w:rFonts w:ascii="Arial" w:hAnsi="Arial"/>
                <w:sz w:val="17"/>
              </w:rPr>
              <w:t>Annualised PUE</w:t>
            </w:r>
          </w:p>
        </w:tc>
        <w:tc>
          <w:tcPr>
            <w:tcW w:type="dxa" w:w="2880"/>
          </w:tcPr>
          <w:p>
            <w:r>
              <w:rPr>
                <w:rFonts w:ascii="Arial" w:hAnsi="Arial"/>
                <w:sz w:val="17"/>
              </w:rPr>
            </w:r>
            <w:r>
              <w:rPr>
                <w:rFonts w:ascii="Arial" w:hAnsi="Arial"/>
                <w:sz w:val="17"/>
              </w:rPr>
              <w:t>≤ 1.25</w:t>
            </w:r>
          </w:p>
        </w:tc>
        <w:tc>
          <w:tcPr>
            <w:tcW w:type="dxa" w:w="2880"/>
          </w:tcPr>
          <w:p>
            <w:r>
              <w:rPr>
                <w:rFonts w:ascii="Arial" w:hAnsi="Arial"/>
                <w:sz w:val="17"/>
              </w:rPr>
            </w:r>
            <w:r>
              <w:rPr>
                <w:rFonts w:ascii="Arial" w:hAnsi="Arial"/>
                <w:sz w:val="17"/>
              </w:rPr>
              <w:t>Calculated per EN 50600-4-2 from 12 months of metered data; interim demonstration at Tests after Completion using the agreed load-bank profile</w:t>
            </w:r>
          </w:p>
        </w:tc>
      </w:tr>
      <w:tr>
        <w:tc>
          <w:tcPr>
            <w:tcW w:type="dxa" w:w="2880"/>
          </w:tcPr>
          <w:p>
            <w:r>
              <w:rPr>
                <w:rFonts w:ascii="Arial" w:hAnsi="Arial"/>
                <w:sz w:val="17"/>
              </w:rPr>
            </w:r>
            <w:r>
              <w:rPr>
                <w:rFonts w:ascii="Arial" w:hAnsi="Arial"/>
                <w:sz w:val="17"/>
              </w:rPr>
              <w:t>Facility availability</w:t>
            </w:r>
          </w:p>
        </w:tc>
        <w:tc>
          <w:tcPr>
            <w:tcW w:type="dxa" w:w="2880"/>
          </w:tcPr>
          <w:p>
            <w:r>
              <w:rPr>
                <w:rFonts w:ascii="Arial" w:hAnsi="Arial"/>
                <w:sz w:val="17"/>
              </w:rPr>
            </w:r>
            <w:r>
              <w:rPr>
                <w:rFonts w:ascii="Arial" w:hAnsi="Arial"/>
                <w:sz w:val="17"/>
              </w:rPr>
              <w:t>99.982% (Tier III equivalent)</w:t>
            </w:r>
          </w:p>
        </w:tc>
        <w:tc>
          <w:tcPr>
            <w:tcW w:type="dxa" w:w="2880"/>
          </w:tcPr>
          <w:p>
            <w:r>
              <w:rPr>
                <w:rFonts w:ascii="Arial" w:hAnsi="Arial"/>
                <w:sz w:val="17"/>
              </w:rPr>
            </w:r>
            <w:r>
              <w:rPr>
                <w:rFonts w:ascii="Arial" w:hAnsi="Arial"/>
                <w:sz w:val="17"/>
              </w:rPr>
              <w:t>Design review plus commissioning demonstration</w:t>
            </w:r>
          </w:p>
        </w:tc>
      </w:tr>
      <w:tr>
        <w:tc>
          <w:tcPr>
            <w:tcW w:type="dxa" w:w="2880"/>
          </w:tcPr>
          <w:p>
            <w:r>
              <w:rPr>
                <w:rFonts w:ascii="Arial" w:hAnsi="Arial"/>
                <w:sz w:val="17"/>
              </w:rPr>
            </w:r>
            <w:r>
              <w:rPr>
                <w:rFonts w:ascii="Arial" w:hAnsi="Arial"/>
                <w:sz w:val="17"/>
              </w:rPr>
              <w:t>Water use effectiveness</w:t>
            </w:r>
          </w:p>
        </w:tc>
        <w:tc>
          <w:tcPr>
            <w:tcW w:type="dxa" w:w="2880"/>
          </w:tcPr>
          <w:p>
            <w:r>
              <w:rPr>
                <w:rFonts w:ascii="Arial" w:hAnsi="Arial"/>
                <w:sz w:val="17"/>
              </w:rPr>
            </w:r>
            <w:r>
              <w:rPr>
                <w:rFonts w:ascii="Arial" w:hAnsi="Arial"/>
                <w:sz w:val="17"/>
              </w:rPr>
              <w:t>≤ 0.25 L/kWh</w:t>
            </w:r>
          </w:p>
        </w:tc>
        <w:tc>
          <w:tcPr>
            <w:tcW w:type="dxa" w:w="2880"/>
          </w:tcPr>
          <w:p>
            <w:r>
              <w:rPr>
                <w:rFonts w:ascii="Arial" w:hAnsi="Arial"/>
                <w:sz w:val="17"/>
              </w:rPr>
            </w:r>
            <w:r>
              <w:rPr>
                <w:rFonts w:ascii="Arial" w:hAnsi="Arial"/>
                <w:sz w:val="17"/>
              </w:rPr>
              <w:t>Metered</w:t>
            </w:r>
          </w:p>
        </w:tc>
      </w:tr>
      <w:tr>
        <w:tc>
          <w:tcPr>
            <w:tcW w:type="dxa" w:w="2880"/>
          </w:tcPr>
          <w:p>
            <w:r>
              <w:rPr>
                <w:rFonts w:ascii="Arial" w:hAnsi="Arial"/>
                <w:sz w:val="17"/>
              </w:rPr>
            </w:r>
            <w:r>
              <w:rPr>
                <w:rFonts w:ascii="Arial" w:hAnsi="Arial"/>
                <w:sz w:val="17"/>
              </w:rPr>
              <w:t>Acoustic</w:t>
            </w:r>
          </w:p>
        </w:tc>
        <w:tc>
          <w:tcPr>
            <w:tcW w:type="dxa" w:w="2880"/>
          </w:tcPr>
          <w:p>
            <w:r>
              <w:rPr>
                <w:rFonts w:ascii="Arial" w:hAnsi="Arial"/>
                <w:sz w:val="17"/>
              </w:rPr>
            </w:r>
            <w:r>
              <w:rPr>
                <w:rFonts w:ascii="Arial" w:hAnsi="Arial"/>
                <w:sz w:val="17"/>
              </w:rPr>
              <w:t>45 dB(A) at north-east boundary at night</w:t>
            </w:r>
          </w:p>
        </w:tc>
        <w:tc>
          <w:tcPr>
            <w:tcW w:type="dxa" w:w="2880"/>
          </w:tcPr>
          <w:p>
            <w:r>
              <w:rPr>
                <w:rFonts w:ascii="Arial" w:hAnsi="Arial"/>
                <w:sz w:val="17"/>
              </w:rPr>
            </w:r>
            <w:r>
              <w:rPr>
                <w:rFonts w:ascii="Arial" w:hAnsi="Arial"/>
                <w:sz w:val="17"/>
              </w:rPr>
              <w:t>Measurement per SFS standard</w:t>
            </w:r>
          </w:p>
        </w:tc>
      </w:tr>
    </w:tbl>
    <w:p/>
    <w:p>
      <w:r>
        <w:rPr>
          <w:color w:val="BBBBBB"/>
        </w:rPr>
        <w:t>____________________________________________________________</w:t>
      </w:r>
    </w:p>
    <w:p>
      <w:pPr>
        <w:pStyle w:val="Heading2"/>
      </w:pPr>
      <w:r>
        <w:t>5. FIRE, LIFE SAFETY AND SECURITY</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7"/>
              </w:rPr>
            </w:r>
            <w:r>
              <w:rPr>
                <w:rFonts w:ascii="Arial" w:hAnsi="Arial"/>
                <w:b/>
                <w:sz w:val="17"/>
              </w:rPr>
              <w:t>Item</w:t>
            </w:r>
          </w:p>
        </w:tc>
        <w:tc>
          <w:tcPr>
            <w:tcW w:type="dxa" w:w="4320"/>
          </w:tcPr>
          <w:p>
            <w:r>
              <w:rPr>
                <w:rFonts w:ascii="Arial" w:hAnsi="Arial"/>
                <w:b/>
                <w:sz w:val="17"/>
              </w:rPr>
            </w:r>
            <w:r>
              <w:rPr>
                <w:rFonts w:ascii="Arial" w:hAnsi="Arial"/>
                <w:b/>
                <w:sz w:val="17"/>
              </w:rPr>
              <w:t>Requirement</w:t>
            </w:r>
          </w:p>
        </w:tc>
      </w:tr>
      <w:tr>
        <w:tc>
          <w:tcPr>
            <w:tcW w:type="dxa" w:w="4320"/>
          </w:tcPr>
          <w:p>
            <w:r>
              <w:rPr>
                <w:rFonts w:ascii="Arial" w:hAnsi="Arial"/>
                <w:sz w:val="17"/>
              </w:rPr>
            </w:r>
            <w:r>
              <w:rPr>
                <w:rFonts w:ascii="Arial" w:hAnsi="Arial"/>
                <w:sz w:val="17"/>
              </w:rPr>
              <w:t>Detection</w:t>
            </w:r>
          </w:p>
        </w:tc>
        <w:tc>
          <w:tcPr>
            <w:tcW w:type="dxa" w:w="4320"/>
          </w:tcPr>
          <w:p>
            <w:r>
              <w:rPr>
                <w:rFonts w:ascii="Arial" w:hAnsi="Arial"/>
                <w:sz w:val="17"/>
              </w:rPr>
            </w:r>
            <w:r>
              <w:rPr>
                <w:rFonts w:ascii="Arial" w:hAnsi="Arial"/>
                <w:sz w:val="17"/>
              </w:rPr>
              <w:t>Aspirating smoke detection in white space, addressable system elsewhere</w:t>
            </w:r>
          </w:p>
        </w:tc>
      </w:tr>
      <w:tr>
        <w:tc>
          <w:tcPr>
            <w:tcW w:type="dxa" w:w="4320"/>
          </w:tcPr>
          <w:p>
            <w:r>
              <w:rPr>
                <w:rFonts w:ascii="Arial" w:hAnsi="Arial"/>
                <w:sz w:val="17"/>
              </w:rPr>
            </w:r>
            <w:r>
              <w:rPr>
                <w:rFonts w:ascii="Arial" w:hAnsi="Arial"/>
                <w:sz w:val="17"/>
              </w:rPr>
              <w:t>Suppression — white space</w:t>
            </w:r>
          </w:p>
        </w:tc>
        <w:tc>
          <w:tcPr>
            <w:tcW w:type="dxa" w:w="4320"/>
          </w:tcPr>
          <w:p>
            <w:r>
              <w:rPr>
                <w:rFonts w:ascii="Arial" w:hAnsi="Arial"/>
                <w:sz w:val="17"/>
              </w:rPr>
            </w:r>
            <w:r>
              <w:rPr>
                <w:rFonts w:ascii="Arial" w:hAnsi="Arial"/>
                <w:sz w:val="17"/>
              </w:rPr>
              <w:t>Inert gas or water-mist, subject to a fire engineering approval by the authority</w:t>
            </w:r>
          </w:p>
        </w:tc>
      </w:tr>
      <w:tr>
        <w:tc>
          <w:tcPr>
            <w:tcW w:type="dxa" w:w="4320"/>
          </w:tcPr>
          <w:p>
            <w:r>
              <w:rPr>
                <w:rFonts w:ascii="Arial" w:hAnsi="Arial"/>
                <w:sz w:val="17"/>
              </w:rPr>
            </w:r>
            <w:r>
              <w:rPr>
                <w:rFonts w:ascii="Arial" w:hAnsi="Arial"/>
                <w:sz w:val="17"/>
              </w:rPr>
              <w:t>Suppression — other areas</w:t>
            </w:r>
          </w:p>
        </w:tc>
        <w:tc>
          <w:tcPr>
            <w:tcW w:type="dxa" w:w="4320"/>
          </w:tcPr>
          <w:p>
            <w:r>
              <w:rPr>
                <w:rFonts w:ascii="Arial" w:hAnsi="Arial"/>
                <w:sz w:val="17"/>
              </w:rPr>
            </w:r>
            <w:r>
              <w:rPr>
                <w:rFonts w:ascii="Arial" w:hAnsi="Arial"/>
                <w:sz w:val="17"/>
              </w:rPr>
              <w:t>Sprinkler to National Building Code, dry riser where required</w:t>
            </w:r>
          </w:p>
        </w:tc>
      </w:tr>
      <w:tr>
        <w:tc>
          <w:tcPr>
            <w:tcW w:type="dxa" w:w="4320"/>
          </w:tcPr>
          <w:p>
            <w:r>
              <w:rPr>
                <w:rFonts w:ascii="Arial" w:hAnsi="Arial"/>
                <w:sz w:val="17"/>
              </w:rPr>
            </w:r>
            <w:r>
              <w:rPr>
                <w:rFonts w:ascii="Arial" w:hAnsi="Arial"/>
                <w:sz w:val="17"/>
              </w:rPr>
              <w:t>Compartmentation</w:t>
            </w:r>
          </w:p>
        </w:tc>
        <w:tc>
          <w:tcPr>
            <w:tcW w:type="dxa" w:w="4320"/>
          </w:tcPr>
          <w:p>
            <w:r>
              <w:rPr>
                <w:rFonts w:ascii="Arial" w:hAnsi="Arial"/>
                <w:sz w:val="17"/>
              </w:rPr>
            </w:r>
            <w:r>
              <w:rPr>
                <w:rFonts w:ascii="Arial" w:hAnsi="Arial"/>
                <w:sz w:val="17"/>
              </w:rPr>
              <w:t>Each hall a separate fire compartment, minimum 2 hours (EI 120)</w:t>
            </w:r>
          </w:p>
        </w:tc>
      </w:tr>
      <w:tr>
        <w:tc>
          <w:tcPr>
            <w:tcW w:type="dxa" w:w="4320"/>
          </w:tcPr>
          <w:p>
            <w:r>
              <w:rPr>
                <w:rFonts w:ascii="Arial" w:hAnsi="Arial"/>
                <w:sz w:val="17"/>
              </w:rPr>
            </w:r>
            <w:r>
              <w:rPr>
                <w:rFonts w:ascii="Arial" w:hAnsi="Arial"/>
                <w:sz w:val="17"/>
              </w:rPr>
              <w:t>Escape</w:t>
            </w:r>
          </w:p>
        </w:tc>
        <w:tc>
          <w:tcPr>
            <w:tcW w:type="dxa" w:w="4320"/>
          </w:tcPr>
          <w:p>
            <w:r>
              <w:rPr>
                <w:rFonts w:ascii="Arial" w:hAnsi="Arial"/>
                <w:sz w:val="17"/>
              </w:rPr>
            </w:r>
            <w:r>
              <w:rPr>
                <w:rFonts w:ascii="Arial" w:hAnsi="Arial"/>
                <w:sz w:val="17"/>
              </w:rPr>
              <w:t>Per Finnish requirements, travel distances demonstrated by the Contractor</w:t>
            </w:r>
          </w:p>
        </w:tc>
      </w:tr>
      <w:tr>
        <w:tc>
          <w:tcPr>
            <w:tcW w:type="dxa" w:w="4320"/>
          </w:tcPr>
          <w:p>
            <w:r>
              <w:rPr>
                <w:rFonts w:ascii="Arial" w:hAnsi="Arial"/>
                <w:sz w:val="17"/>
              </w:rPr>
            </w:r>
            <w:r>
              <w:rPr>
                <w:rFonts w:ascii="Arial" w:hAnsi="Arial"/>
                <w:sz w:val="17"/>
              </w:rPr>
              <w:t>Security</w:t>
            </w:r>
          </w:p>
        </w:tc>
        <w:tc>
          <w:tcPr>
            <w:tcW w:type="dxa" w:w="4320"/>
          </w:tcPr>
          <w:p>
            <w:r>
              <w:rPr>
                <w:rFonts w:ascii="Arial" w:hAnsi="Arial"/>
                <w:sz w:val="17"/>
              </w:rPr>
            </w:r>
            <w:r>
              <w:rPr>
                <w:rFonts w:ascii="Arial" w:hAnsi="Arial"/>
                <w:sz w:val="17"/>
              </w:rPr>
              <w:t>Perimeter fence and detection, ANPR vehicle gate, mantrap at reception, five-layer access control to white space, 90-day CCTV retention</w:t>
            </w:r>
          </w:p>
        </w:tc>
      </w:tr>
      <w:tr>
        <w:tc>
          <w:tcPr>
            <w:tcW w:type="dxa" w:w="4320"/>
          </w:tcPr>
          <w:p>
            <w:r>
              <w:rPr>
                <w:rFonts w:ascii="Arial" w:hAnsi="Arial"/>
                <w:sz w:val="17"/>
              </w:rPr>
            </w:r>
            <w:r>
              <w:rPr>
                <w:rFonts w:ascii="Arial" w:hAnsi="Arial"/>
                <w:sz w:val="17"/>
              </w:rPr>
              <w:t>Access control</w:t>
            </w:r>
          </w:p>
        </w:tc>
        <w:tc>
          <w:tcPr>
            <w:tcW w:type="dxa" w:w="4320"/>
          </w:tcPr>
          <w:p>
            <w:r>
              <w:rPr>
                <w:rFonts w:ascii="Arial" w:hAnsi="Arial"/>
                <w:sz w:val="17"/>
              </w:rPr>
            </w:r>
            <w:r>
              <w:rPr>
                <w:rFonts w:ascii="Arial" w:hAnsi="Arial"/>
                <w:sz w:val="17"/>
              </w:rPr>
              <w:t>Integrated with the Tenant's credentialing at handover of each Section</w:t>
            </w:r>
          </w:p>
        </w:tc>
      </w:tr>
    </w:tbl>
    <w:p/>
    <w:p>
      <w:r>
        <w:rPr>
          <w:color w:val="BBBBBB"/>
        </w:rPr>
        <w:t>____________________________________________________________</w:t>
      </w:r>
    </w:p>
    <w:p>
      <w:pPr>
        <w:pStyle w:val="Heading2"/>
      </w:pPr>
      <w:r>
        <w:t>6. CONTROLS AND MONITORING</w:t>
      </w:r>
    </w:p>
    <w:p>
      <w:pPr>
        <w:pStyle w:val="ListBullet"/>
      </w:pPr>
      <w:r>
        <w:t>BMS covering all mechanical and electrical plant, open protocol (BACnet/IP).</w:t>
      </w:r>
    </w:p>
    <w:p>
      <w:pPr>
        <w:pStyle w:val="ListBullet"/>
      </w:pPr>
      <w:r>
        <w:t>DCIM providing per-hall power, cooling and environmental reporting, with</w:t>
      </w:r>
    </w:p>
    <w:p>
      <w:r>
        <w:t xml:space="preserve">  historical trending retained for 24 months.</w:t>
      </w:r>
    </w:p>
    <w:p>
      <w:pPr>
        <w:pStyle w:val="ListBullet"/>
      </w:pPr>
      <w:r>
        <w:t>Alarm hierarchy agreed with the Employer before commissioning; no unassigned</w:t>
      </w:r>
    </w:p>
    <w:p>
      <w:r>
        <w:t xml:space="preserve">  critical alarms at handover.</w:t>
      </w:r>
    </w:p>
    <w:p>
      <w:pPr>
        <w:pStyle w:val="ListBullet"/>
      </w:pPr>
      <w:r>
        <w:t>All setpoints, sequences and cause-and-effect matrices documented and witnessed.</w:t>
      </w:r>
    </w:p>
    <w:p>
      <w:r>
        <w:rPr>
          <w:color w:val="BBBBBB"/>
        </w:rPr>
        <w:t>____________________________________________________________</w:t>
      </w:r>
    </w:p>
    <w:p>
      <w:pPr>
        <w:pStyle w:val="Heading2"/>
      </w:pPr>
      <w:r>
        <w:t>7. SEQUENCE, PHASING AND SECTIONAL COMPLETION</w:t>
      </w:r>
    </w:p>
    <w:p>
      <w:r>
        <w:t xml:space="preserve">The Works are divided into four Sections. </w:t>
      </w:r>
      <w:r>
        <w:rPr>
          <w:b/>
        </w:rPr>
        <w:t>Shared infrastructure sized for the full 10 MW must be complete and commissioned as part of Section 1</w:t>
      </w:r>
      <w:r>
        <w:t xml:space="preserve"> — the Employer will not accept a Section 1 handover that depends on later temporary arrangements.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7"/>
              </w:rPr>
            </w:r>
            <w:r>
              <w:rPr>
                <w:rFonts w:ascii="Arial" w:hAnsi="Arial"/>
                <w:b/>
                <w:sz w:val="17"/>
              </w:rPr>
              <w:t>Section</w:t>
            </w:r>
          </w:p>
        </w:tc>
        <w:tc>
          <w:tcPr>
            <w:tcW w:type="dxa" w:w="2880"/>
          </w:tcPr>
          <w:p>
            <w:r>
              <w:rPr>
                <w:rFonts w:ascii="Arial" w:hAnsi="Arial"/>
                <w:b/>
                <w:sz w:val="17"/>
              </w:rPr>
            </w:r>
            <w:r>
              <w:rPr>
                <w:rFonts w:ascii="Arial" w:hAnsi="Arial"/>
                <w:b/>
                <w:sz w:val="17"/>
              </w:rPr>
              <w:t>Scope</w:t>
            </w:r>
          </w:p>
        </w:tc>
        <w:tc>
          <w:tcPr>
            <w:tcW w:type="dxa" w:w="2880"/>
          </w:tcPr>
          <w:p>
            <w:r>
              <w:rPr>
                <w:rFonts w:ascii="Arial" w:hAnsi="Arial"/>
                <w:b/>
                <w:sz w:val="17"/>
              </w:rPr>
            </w:r>
            <w:r>
              <w:rPr>
                <w:rFonts w:ascii="Arial" w:hAnsi="Arial"/>
                <w:b/>
                <w:sz w:val="17"/>
              </w:rPr>
              <w:t>Time for Completion</w:t>
            </w:r>
          </w:p>
        </w:tc>
      </w:tr>
      <w:tr>
        <w:tc>
          <w:tcPr>
            <w:tcW w:type="dxa" w:w="2880"/>
          </w:tcPr>
          <w:p>
            <w:r>
              <w:rPr>
                <w:rFonts w:ascii="Arial" w:hAnsi="Arial"/>
                <w:sz w:val="17"/>
              </w:rPr>
            </w:r>
            <w:r>
              <w:rPr>
                <w:rFonts w:ascii="Arial" w:hAnsi="Arial"/>
                <w:sz w:val="17"/>
              </w:rPr>
              <w:t>1</w:t>
            </w:r>
          </w:p>
        </w:tc>
        <w:tc>
          <w:tcPr>
            <w:tcW w:type="dxa" w:w="2880"/>
          </w:tcPr>
          <w:p>
            <w:r>
              <w:rPr>
                <w:rFonts w:ascii="Arial" w:hAnsi="Arial"/>
                <w:sz w:val="17"/>
              </w:rPr>
            </w:r>
            <w:r>
              <w:rPr>
                <w:rFonts w:ascii="Arial" w:hAnsi="Arial"/>
                <w:sz w:val="17"/>
              </w:rPr>
              <w:t>Hall 1, primary substation, generator compound, shared cooling spine, site access, gatehouse</w:t>
            </w:r>
          </w:p>
        </w:tc>
        <w:tc>
          <w:tcPr>
            <w:tcW w:type="dxa" w:w="2880"/>
          </w:tcPr>
          <w:p>
            <w:r>
              <w:rPr>
                <w:rFonts w:ascii="Arial" w:hAnsi="Arial"/>
                <w:sz w:val="17"/>
              </w:rPr>
            </w:r>
            <w:r>
              <w:rPr>
                <w:rFonts w:ascii="Arial" w:hAnsi="Arial"/>
                <w:sz w:val="17"/>
              </w:rPr>
              <w:t>Month 14</w:t>
            </w:r>
          </w:p>
        </w:tc>
      </w:tr>
      <w:tr>
        <w:tc>
          <w:tcPr>
            <w:tcW w:type="dxa" w:w="2880"/>
          </w:tcPr>
          <w:p>
            <w:r>
              <w:rPr>
                <w:rFonts w:ascii="Arial" w:hAnsi="Arial"/>
                <w:sz w:val="17"/>
              </w:rPr>
            </w:r>
            <w:r>
              <w:rPr>
                <w:rFonts w:ascii="Arial" w:hAnsi="Arial"/>
                <w:sz w:val="17"/>
              </w:rPr>
              <w:t>2</w:t>
            </w:r>
          </w:p>
        </w:tc>
        <w:tc>
          <w:tcPr>
            <w:tcW w:type="dxa" w:w="2880"/>
          </w:tcPr>
          <w:p>
            <w:r>
              <w:rPr>
                <w:rFonts w:ascii="Arial" w:hAnsi="Arial"/>
                <w:sz w:val="17"/>
              </w:rPr>
            </w:r>
            <w:r>
              <w:rPr>
                <w:rFonts w:ascii="Arial" w:hAnsi="Arial"/>
                <w:sz w:val="17"/>
              </w:rPr>
              <w:t>Hall 2 and associated plant</w:t>
            </w:r>
          </w:p>
        </w:tc>
        <w:tc>
          <w:tcPr>
            <w:tcW w:type="dxa" w:w="2880"/>
          </w:tcPr>
          <w:p>
            <w:r>
              <w:rPr>
                <w:rFonts w:ascii="Arial" w:hAnsi="Arial"/>
                <w:sz w:val="17"/>
              </w:rPr>
            </w:r>
            <w:r>
              <w:rPr>
                <w:rFonts w:ascii="Arial" w:hAnsi="Arial"/>
                <w:sz w:val="17"/>
              </w:rPr>
              <w:t>Month 16</w:t>
            </w:r>
          </w:p>
        </w:tc>
      </w:tr>
      <w:tr>
        <w:tc>
          <w:tcPr>
            <w:tcW w:type="dxa" w:w="2880"/>
          </w:tcPr>
          <w:p>
            <w:r>
              <w:rPr>
                <w:rFonts w:ascii="Arial" w:hAnsi="Arial"/>
                <w:sz w:val="17"/>
              </w:rPr>
            </w:r>
            <w:r>
              <w:rPr>
                <w:rFonts w:ascii="Arial" w:hAnsi="Arial"/>
                <w:sz w:val="17"/>
              </w:rPr>
              <w:t>3</w:t>
            </w:r>
          </w:p>
        </w:tc>
        <w:tc>
          <w:tcPr>
            <w:tcW w:type="dxa" w:w="2880"/>
          </w:tcPr>
          <w:p>
            <w:r>
              <w:rPr>
                <w:rFonts w:ascii="Arial" w:hAnsi="Arial"/>
                <w:sz w:val="17"/>
              </w:rPr>
            </w:r>
            <w:r>
              <w:rPr>
                <w:rFonts w:ascii="Arial" w:hAnsi="Arial"/>
                <w:sz w:val="17"/>
              </w:rPr>
              <w:t>Hall 3 and associated plant</w:t>
            </w:r>
          </w:p>
        </w:tc>
        <w:tc>
          <w:tcPr>
            <w:tcW w:type="dxa" w:w="2880"/>
          </w:tcPr>
          <w:p>
            <w:r>
              <w:rPr>
                <w:rFonts w:ascii="Arial" w:hAnsi="Arial"/>
                <w:sz w:val="17"/>
              </w:rPr>
            </w:r>
            <w:r>
              <w:rPr>
                <w:rFonts w:ascii="Arial" w:hAnsi="Arial"/>
                <w:sz w:val="17"/>
              </w:rPr>
              <w:t>Month 19</w:t>
            </w:r>
          </w:p>
        </w:tc>
      </w:tr>
      <w:tr>
        <w:tc>
          <w:tcPr>
            <w:tcW w:type="dxa" w:w="2880"/>
          </w:tcPr>
          <w:p>
            <w:r>
              <w:rPr>
                <w:rFonts w:ascii="Arial" w:hAnsi="Arial"/>
                <w:sz w:val="17"/>
              </w:rPr>
            </w:r>
            <w:r>
              <w:rPr>
                <w:rFonts w:ascii="Arial" w:hAnsi="Arial"/>
                <w:sz w:val="17"/>
              </w:rPr>
              <w:t>4</w:t>
            </w:r>
          </w:p>
        </w:tc>
        <w:tc>
          <w:tcPr>
            <w:tcW w:type="dxa" w:w="2880"/>
          </w:tcPr>
          <w:p>
            <w:r>
              <w:rPr>
                <w:rFonts w:ascii="Arial" w:hAnsi="Arial"/>
                <w:sz w:val="17"/>
              </w:rPr>
            </w:r>
            <w:r>
              <w:rPr>
                <w:rFonts w:ascii="Arial" w:hAnsi="Arial"/>
                <w:sz w:val="17"/>
              </w:rPr>
              <w:t>Hall 4, administration/NOC block, external works, landscaping</w:t>
            </w:r>
          </w:p>
        </w:tc>
        <w:tc>
          <w:tcPr>
            <w:tcW w:type="dxa" w:w="2880"/>
          </w:tcPr>
          <w:p>
            <w:r>
              <w:rPr>
                <w:rFonts w:ascii="Arial" w:hAnsi="Arial"/>
                <w:sz w:val="17"/>
              </w:rPr>
            </w:r>
            <w:r>
              <w:rPr>
                <w:rFonts w:ascii="Arial" w:hAnsi="Arial"/>
                <w:sz w:val="17"/>
              </w:rPr>
              <w:t>Month 22</w:t>
            </w:r>
          </w:p>
        </w:tc>
      </w:tr>
    </w:tbl>
    <w:p/>
    <w:p>
      <w:r>
        <w:t>Delay Damages apply per Section as set out in PDC-SC-001. Construction of later Sections shall not interrupt the operation of any Section already taken over; the Contractor shall submit a method statement addressing live-environment working before commencing work adjacent to an operating hall.</w:t>
      </w:r>
    </w:p>
    <w:p>
      <w:r>
        <w:rPr>
          <w:color w:val="BBBBBB"/>
        </w:rPr>
        <w:t>____________________________________________________________</w:t>
      </w:r>
    </w:p>
    <w:p>
      <w:pPr>
        <w:pStyle w:val="Heading2"/>
      </w:pPr>
      <w:r>
        <w:t>8. COMMISSIONING AND HANDOVER</w:t>
      </w:r>
    </w:p>
    <w:p>
      <w:r>
        <w:t>Five-level commissioning is required:</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7"/>
              </w:rPr>
            </w:r>
            <w:r>
              <w:rPr>
                <w:rFonts w:ascii="Arial" w:hAnsi="Arial"/>
                <w:b/>
                <w:sz w:val="17"/>
              </w:rPr>
              <w:t>Level</w:t>
            </w:r>
          </w:p>
        </w:tc>
        <w:tc>
          <w:tcPr>
            <w:tcW w:type="dxa" w:w="4320"/>
          </w:tcPr>
          <w:p>
            <w:r>
              <w:rPr>
                <w:rFonts w:ascii="Arial" w:hAnsi="Arial"/>
                <w:b/>
                <w:sz w:val="17"/>
              </w:rPr>
            </w:r>
            <w:r>
              <w:rPr>
                <w:rFonts w:ascii="Arial" w:hAnsi="Arial"/>
                <w:b/>
                <w:sz w:val="17"/>
              </w:rPr>
              <w:t>Activity</w:t>
            </w:r>
          </w:p>
        </w:tc>
      </w:tr>
      <w:tr>
        <w:tc>
          <w:tcPr>
            <w:tcW w:type="dxa" w:w="4320"/>
          </w:tcPr>
          <w:p>
            <w:r>
              <w:rPr>
                <w:rFonts w:ascii="Arial" w:hAnsi="Arial"/>
                <w:sz w:val="17"/>
              </w:rPr>
            </w:r>
            <w:r>
              <w:rPr>
                <w:rFonts w:ascii="Arial" w:hAnsi="Arial"/>
                <w:sz w:val="17"/>
              </w:rPr>
              <w:t>L1</w:t>
            </w:r>
          </w:p>
        </w:tc>
        <w:tc>
          <w:tcPr>
            <w:tcW w:type="dxa" w:w="4320"/>
          </w:tcPr>
          <w:p>
            <w:r>
              <w:rPr>
                <w:rFonts w:ascii="Arial" w:hAnsi="Arial"/>
                <w:sz w:val="17"/>
              </w:rPr>
            </w:r>
            <w:r>
              <w:rPr>
                <w:rFonts w:ascii="Arial" w:hAnsi="Arial"/>
                <w:sz w:val="17"/>
              </w:rPr>
              <w:t>Factory acceptance testing of critical plant (witnessed for HV, UPS, generators, chillers)</w:t>
            </w:r>
          </w:p>
        </w:tc>
      </w:tr>
      <w:tr>
        <w:tc>
          <w:tcPr>
            <w:tcW w:type="dxa" w:w="4320"/>
          </w:tcPr>
          <w:p>
            <w:r>
              <w:rPr>
                <w:rFonts w:ascii="Arial" w:hAnsi="Arial"/>
                <w:sz w:val="17"/>
              </w:rPr>
            </w:r>
            <w:r>
              <w:rPr>
                <w:rFonts w:ascii="Arial" w:hAnsi="Arial"/>
                <w:sz w:val="17"/>
              </w:rPr>
              <w:t>L2</w:t>
            </w:r>
          </w:p>
        </w:tc>
        <w:tc>
          <w:tcPr>
            <w:tcW w:type="dxa" w:w="4320"/>
          </w:tcPr>
          <w:p>
            <w:r>
              <w:rPr>
                <w:rFonts w:ascii="Arial" w:hAnsi="Arial"/>
                <w:sz w:val="17"/>
              </w:rPr>
            </w:r>
            <w:r>
              <w:rPr>
                <w:rFonts w:ascii="Arial" w:hAnsi="Arial"/>
                <w:sz w:val="17"/>
              </w:rPr>
              <w:t>Site delivery and static inspection</w:t>
            </w:r>
          </w:p>
        </w:tc>
      </w:tr>
      <w:tr>
        <w:tc>
          <w:tcPr>
            <w:tcW w:type="dxa" w:w="4320"/>
          </w:tcPr>
          <w:p>
            <w:r>
              <w:rPr>
                <w:rFonts w:ascii="Arial" w:hAnsi="Arial"/>
                <w:sz w:val="17"/>
              </w:rPr>
            </w:r>
            <w:r>
              <w:rPr>
                <w:rFonts w:ascii="Arial" w:hAnsi="Arial"/>
                <w:sz w:val="17"/>
              </w:rPr>
              <w:t>L3</w:t>
            </w:r>
          </w:p>
        </w:tc>
        <w:tc>
          <w:tcPr>
            <w:tcW w:type="dxa" w:w="4320"/>
          </w:tcPr>
          <w:p>
            <w:r>
              <w:rPr>
                <w:rFonts w:ascii="Arial" w:hAnsi="Arial"/>
                <w:sz w:val="17"/>
              </w:rPr>
            </w:r>
            <w:r>
              <w:rPr>
                <w:rFonts w:ascii="Arial" w:hAnsi="Arial"/>
                <w:sz w:val="17"/>
              </w:rPr>
              <w:t>Individual component start-up and functional test</w:t>
            </w:r>
          </w:p>
        </w:tc>
      </w:tr>
      <w:tr>
        <w:tc>
          <w:tcPr>
            <w:tcW w:type="dxa" w:w="4320"/>
          </w:tcPr>
          <w:p>
            <w:r>
              <w:rPr>
                <w:rFonts w:ascii="Arial" w:hAnsi="Arial"/>
                <w:sz w:val="17"/>
              </w:rPr>
            </w:r>
            <w:r>
              <w:rPr>
                <w:rFonts w:ascii="Arial" w:hAnsi="Arial"/>
                <w:sz w:val="17"/>
              </w:rPr>
              <w:t>L4</w:t>
            </w:r>
          </w:p>
        </w:tc>
        <w:tc>
          <w:tcPr>
            <w:tcW w:type="dxa" w:w="4320"/>
          </w:tcPr>
          <w:p>
            <w:r>
              <w:rPr>
                <w:rFonts w:ascii="Arial" w:hAnsi="Arial"/>
                <w:sz w:val="17"/>
              </w:rPr>
            </w:r>
            <w:r>
              <w:rPr>
                <w:rFonts w:ascii="Arial" w:hAnsi="Arial"/>
                <w:sz w:val="17"/>
              </w:rPr>
              <w:t>Integrated systems testing, including black-building and failure-mode tests</w:t>
            </w:r>
          </w:p>
        </w:tc>
      </w:tr>
      <w:tr>
        <w:tc>
          <w:tcPr>
            <w:tcW w:type="dxa" w:w="4320"/>
          </w:tcPr>
          <w:p>
            <w:r>
              <w:rPr>
                <w:rFonts w:ascii="Arial" w:hAnsi="Arial"/>
                <w:sz w:val="17"/>
              </w:rPr>
            </w:r>
            <w:r>
              <w:rPr>
                <w:rFonts w:ascii="Arial" w:hAnsi="Arial"/>
                <w:sz w:val="17"/>
              </w:rPr>
              <w:t>L5</w:t>
            </w:r>
          </w:p>
        </w:tc>
        <w:tc>
          <w:tcPr>
            <w:tcW w:type="dxa" w:w="4320"/>
          </w:tcPr>
          <w:p>
            <w:r>
              <w:rPr>
                <w:rFonts w:ascii="Arial" w:hAnsi="Arial"/>
                <w:sz w:val="17"/>
              </w:rPr>
            </w:r>
            <w:r>
              <w:rPr>
                <w:rFonts w:ascii="Arial" w:hAnsi="Arial"/>
                <w:sz w:val="17"/>
              </w:rPr>
              <w:t>Integrated load-bank testing to full Section load for 24 hours continuous</w:t>
            </w:r>
          </w:p>
        </w:tc>
      </w:tr>
    </w:tbl>
    <w:p/>
    <w:p>
      <w:r>
        <w:t>Tests on Completion for each Section include L4 and L5. Tests after Completion comprise the 12-month PUE demonstration. Handover of each Section requires as-built documentation, O&amp;M manuals, training records, statutory certificates and the occupancy inspection (käyttöönottotarkastus) for that Section.</w:t>
      </w:r>
    </w:p>
    <w:p>
      <w:r>
        <w:rPr>
          <w:color w:val="BBBBBB"/>
        </w:rPr>
        <w:t>____________________________________________________________</w:t>
      </w:r>
    </w:p>
    <w:p>
      <w:pPr>
        <w:pStyle w:val="Heading2"/>
      </w:pPr>
      <w:r>
        <w:t>9. EMPLOYER-SUPPLIED ITEMS AND EXCLUSIONS</w:t>
      </w:r>
    </w:p>
    <w:p>
      <w:r>
        <w:t>Supplied by the Employer or the Tenant:</w:t>
      </w:r>
    </w:p>
    <w:p>
      <w:pPr>
        <w:pStyle w:val="ListBullet"/>
      </w:pPr>
      <w:r>
        <w:t>IT racks, servers, network equipment and containment doors;</w:t>
      </w:r>
    </w:p>
    <w:p>
      <w:pPr>
        <w:pStyle w:val="ListBullet"/>
      </w:pPr>
      <w:r>
        <w:t>carrier fibre tails to the meet-me room;</w:t>
      </w:r>
    </w:p>
    <w:p>
      <w:pPr>
        <w:pStyle w:val="ListBullet"/>
      </w:pPr>
      <w:r>
        <w:t>the Tenant's credential database for access control;</w:t>
      </w:r>
    </w:p>
    <w:p>
      <w:pPr>
        <w:pStyle w:val="ListBullet"/>
      </w:pPr>
      <w:r>
        <w:t>the 110 kV line and its terminations (network operator).</w:t>
      </w:r>
    </w:p>
    <w:p>
      <w:r>
        <w:t xml:space="preserve">The Contractor shall allow for reasonable coordination and access for the above, including Tenant fit-out access to Hall 1 from </w:t>
      </w:r>
      <w:r>
        <w:rPr>
          <w:b/>
        </w:rPr>
        <w:t>Month 12</w:t>
      </w:r>
      <w:r>
        <w:t>, in parallel with completion of Section 1.</w:t>
      </w:r>
    </w:p>
    <w:p>
      <w:r>
        <w:rPr>
          <w:color w:val="BBBBBB"/>
        </w:rPr>
        <w:t>____________________________________________________________</w:t>
      </w:r>
    </w:p>
    <w:p>
      <w:pPr>
        <w:pStyle w:val="Heading2"/>
      </w:pPr>
      <w:r>
        <w:t>10. DESIGN SUBMISSIONS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7"/>
              </w:rPr>
            </w:r>
            <w:r>
              <w:rPr>
                <w:rFonts w:ascii="Arial" w:hAnsi="Arial"/>
                <w:b/>
                <w:sz w:val="17"/>
              </w:rPr>
              <w:t>Stage</w:t>
            </w:r>
          </w:p>
        </w:tc>
        <w:tc>
          <w:tcPr>
            <w:tcW w:type="dxa" w:w="2880"/>
          </w:tcPr>
          <w:p>
            <w:r>
              <w:rPr>
                <w:rFonts w:ascii="Arial" w:hAnsi="Arial"/>
                <w:b/>
                <w:sz w:val="17"/>
              </w:rPr>
            </w:r>
            <w:r>
              <w:rPr>
                <w:rFonts w:ascii="Arial" w:hAnsi="Arial"/>
                <w:b/>
                <w:sz w:val="17"/>
              </w:rPr>
              <w:t>Submission</w:t>
            </w:r>
          </w:p>
        </w:tc>
        <w:tc>
          <w:tcPr>
            <w:tcW w:type="dxa" w:w="2880"/>
          </w:tcPr>
          <w:p>
            <w:r>
              <w:rPr>
                <w:rFonts w:ascii="Arial" w:hAnsi="Arial"/>
                <w:b/>
                <w:sz w:val="17"/>
              </w:rPr>
            </w:r>
            <w:r>
              <w:rPr>
                <w:rFonts w:ascii="Arial" w:hAnsi="Arial"/>
                <w:b/>
                <w:sz w:val="17"/>
              </w:rPr>
              <w:t>Review period</w:t>
            </w:r>
          </w:p>
        </w:tc>
      </w:tr>
      <w:tr>
        <w:tc>
          <w:tcPr>
            <w:tcW w:type="dxa" w:w="2880"/>
          </w:tcPr>
          <w:p>
            <w:r>
              <w:rPr>
                <w:rFonts w:ascii="Arial" w:hAnsi="Arial"/>
                <w:sz w:val="17"/>
              </w:rPr>
            </w:r>
            <w:r>
              <w:rPr>
                <w:rFonts w:ascii="Arial" w:hAnsi="Arial"/>
                <w:sz w:val="17"/>
              </w:rPr>
              <w:t>S1</w:t>
            </w:r>
          </w:p>
        </w:tc>
        <w:tc>
          <w:tcPr>
            <w:tcW w:type="dxa" w:w="2880"/>
          </w:tcPr>
          <w:p>
            <w:r>
              <w:rPr>
                <w:rFonts w:ascii="Arial" w:hAnsi="Arial"/>
                <w:sz w:val="17"/>
              </w:rPr>
            </w:r>
            <w:r>
              <w:rPr>
                <w:rFonts w:ascii="Arial" w:hAnsi="Arial"/>
                <w:sz w:val="17"/>
              </w:rPr>
              <w:t>Concept design, single-line diagrams, cooling strategy</w:t>
            </w:r>
          </w:p>
        </w:tc>
        <w:tc>
          <w:tcPr>
            <w:tcW w:type="dxa" w:w="2880"/>
          </w:tcPr>
          <w:p>
            <w:r>
              <w:rPr>
                <w:rFonts w:ascii="Arial" w:hAnsi="Arial"/>
                <w:sz w:val="17"/>
              </w:rPr>
            </w:r>
            <w:r>
              <w:rPr>
                <w:rFonts w:ascii="Arial" w:hAnsi="Arial"/>
                <w:sz w:val="17"/>
              </w:rPr>
              <w:t>14 days</w:t>
            </w:r>
          </w:p>
        </w:tc>
      </w:tr>
      <w:tr>
        <w:tc>
          <w:tcPr>
            <w:tcW w:type="dxa" w:w="2880"/>
          </w:tcPr>
          <w:p>
            <w:r>
              <w:rPr>
                <w:rFonts w:ascii="Arial" w:hAnsi="Arial"/>
                <w:sz w:val="17"/>
              </w:rPr>
            </w:r>
            <w:r>
              <w:rPr>
                <w:rFonts w:ascii="Arial" w:hAnsi="Arial"/>
                <w:sz w:val="17"/>
              </w:rPr>
              <w:t>S2</w:t>
            </w:r>
          </w:p>
        </w:tc>
        <w:tc>
          <w:tcPr>
            <w:tcW w:type="dxa" w:w="2880"/>
          </w:tcPr>
          <w:p>
            <w:r>
              <w:rPr>
                <w:rFonts w:ascii="Arial" w:hAnsi="Arial"/>
                <w:sz w:val="17"/>
              </w:rPr>
            </w:r>
            <w:r>
              <w:rPr>
                <w:rFonts w:ascii="Arial" w:hAnsi="Arial"/>
                <w:sz w:val="17"/>
              </w:rPr>
              <w:t>Detailed design, all disciplines, calculations</w:t>
            </w:r>
          </w:p>
        </w:tc>
        <w:tc>
          <w:tcPr>
            <w:tcW w:type="dxa" w:w="2880"/>
          </w:tcPr>
          <w:p>
            <w:r>
              <w:rPr>
                <w:rFonts w:ascii="Arial" w:hAnsi="Arial"/>
                <w:sz w:val="17"/>
              </w:rPr>
            </w:r>
            <w:r>
              <w:rPr>
                <w:rFonts w:ascii="Arial" w:hAnsi="Arial"/>
                <w:sz w:val="17"/>
              </w:rPr>
              <w:t>21 days</w:t>
            </w:r>
          </w:p>
        </w:tc>
      </w:tr>
      <w:tr>
        <w:tc>
          <w:tcPr>
            <w:tcW w:type="dxa" w:w="2880"/>
          </w:tcPr>
          <w:p>
            <w:r>
              <w:rPr>
                <w:rFonts w:ascii="Arial" w:hAnsi="Arial"/>
                <w:sz w:val="17"/>
              </w:rPr>
            </w:r>
            <w:r>
              <w:rPr>
                <w:rFonts w:ascii="Arial" w:hAnsi="Arial"/>
                <w:sz w:val="17"/>
              </w:rPr>
              <w:t>S3</w:t>
            </w:r>
          </w:p>
        </w:tc>
        <w:tc>
          <w:tcPr>
            <w:tcW w:type="dxa" w:w="2880"/>
          </w:tcPr>
          <w:p>
            <w:r>
              <w:rPr>
                <w:rFonts w:ascii="Arial" w:hAnsi="Arial"/>
                <w:sz w:val="17"/>
              </w:rPr>
            </w:r>
            <w:r>
              <w:rPr>
                <w:rFonts w:ascii="Arial" w:hAnsi="Arial"/>
                <w:sz w:val="17"/>
              </w:rPr>
              <w:t>Construction issue, shop drawings, schedules</w:t>
            </w:r>
          </w:p>
        </w:tc>
        <w:tc>
          <w:tcPr>
            <w:tcW w:type="dxa" w:w="2880"/>
          </w:tcPr>
          <w:p>
            <w:r>
              <w:rPr>
                <w:rFonts w:ascii="Arial" w:hAnsi="Arial"/>
                <w:sz w:val="17"/>
              </w:rPr>
            </w:r>
            <w:r>
              <w:rPr>
                <w:rFonts w:ascii="Arial" w:hAnsi="Arial"/>
                <w:sz w:val="17"/>
              </w:rPr>
              <w:t>14 days</w:t>
            </w:r>
          </w:p>
        </w:tc>
      </w:tr>
      <w:tr>
        <w:tc>
          <w:tcPr>
            <w:tcW w:type="dxa" w:w="2880"/>
          </w:tcPr>
          <w:p>
            <w:r>
              <w:rPr>
                <w:rFonts w:ascii="Arial" w:hAnsi="Arial"/>
                <w:sz w:val="17"/>
              </w:rPr>
            </w:r>
            <w:r>
              <w:rPr>
                <w:rFonts w:ascii="Arial" w:hAnsi="Arial"/>
                <w:sz w:val="17"/>
              </w:rPr>
              <w:t>S4</w:t>
            </w:r>
          </w:p>
        </w:tc>
        <w:tc>
          <w:tcPr>
            <w:tcW w:type="dxa" w:w="2880"/>
          </w:tcPr>
          <w:p>
            <w:r>
              <w:rPr>
                <w:rFonts w:ascii="Arial" w:hAnsi="Arial"/>
                <w:sz w:val="17"/>
              </w:rPr>
            </w:r>
            <w:r>
              <w:rPr>
                <w:rFonts w:ascii="Arial" w:hAnsi="Arial"/>
                <w:sz w:val="17"/>
              </w:rPr>
              <w:t>As-built and O&amp;M</w:t>
            </w:r>
          </w:p>
        </w:tc>
        <w:tc>
          <w:tcPr>
            <w:tcW w:type="dxa" w:w="2880"/>
          </w:tcPr>
          <w:p>
            <w:r>
              <w:rPr>
                <w:rFonts w:ascii="Arial" w:hAnsi="Arial"/>
                <w:sz w:val="17"/>
              </w:rPr>
            </w:r>
            <w:r>
              <w:rPr>
                <w:rFonts w:ascii="Arial" w:hAnsi="Arial"/>
                <w:sz w:val="17"/>
              </w:rPr>
              <w:t>Per Section handover</w:t>
            </w:r>
          </w:p>
        </w:tc>
      </w:tr>
    </w:tbl>
    <w:p/>
    <w:p>
      <w:r>
        <w:t>Review by the Engineer does not relieve the Contractor of design responsibility. The Contractor shall maintain a design tracker recording every Employer comment and its disposition, available to the Engineer at any time.</w:t>
      </w:r>
    </w:p>
    <w:p>
      <w:r>
        <w:rPr>
          <w:color w:val="BBBBBB"/>
        </w:rPr>
        <w:t>____________________________________________________________</w:t>
      </w:r>
    </w:p>
    <w:p>
      <w:pPr>
        <w:pStyle w:val="Heading2"/>
      </w:pPr>
      <w:r>
        <w:t>11. SITE CONSTRAINTS SUMMARY</w:t>
      </w:r>
    </w:p>
    <w:p>
      <w:r>
        <w:t>Detailed in PDC-SS-001 and PDC-PP-001. In summary:</w:t>
      </w:r>
    </w:p>
    <w:p>
      <w:pPr>
        <w:pStyle w:val="ListBullet"/>
      </w:pPr>
      <w:r>
        <w:t xml:space="preserve">bedrock at 4–9 m; </w:t>
      </w:r>
      <w:r>
        <w:rPr>
          <w:b/>
        </w:rPr>
        <w:t>blasting is required in the eastern third of the plot</w:t>
      </w:r>
      <w:r>
        <w:t xml:space="preserve"> and</w:t>
      </w:r>
    </w:p>
    <w:p>
      <w:r>
        <w:t xml:space="preserve">  is subject to vibration limits and notification of neighbours;</w:t>
      </w:r>
    </w:p>
    <w:p>
      <w:pPr>
        <w:pStyle w:val="ListBullet"/>
      </w:pPr>
      <w:r>
        <w:t>aviation height limitation and obstacle lighting obligations;</w:t>
      </w:r>
    </w:p>
    <w:p>
      <w:pPr>
        <w:pStyle w:val="ListBullet"/>
      </w:pPr>
      <w:r>
        <w:t>night-time noise limit at the north-east residential boundary;</w:t>
      </w:r>
    </w:p>
    <w:p>
      <w:pPr>
        <w:pStyle w:val="ListBullet"/>
      </w:pPr>
      <w:r>
        <w:t>110 kV overhead line crossing the northern boundary — no crane operation within</w:t>
      </w:r>
    </w:p>
    <w:p>
      <w:r>
        <w:t xml:space="preserve">  its exclusion zone without the network operator's written permission;</w:t>
      </w:r>
    </w:p>
    <w:p>
      <w:pPr>
        <w:pStyle w:val="ListBullet"/>
      </w:pPr>
      <w:r>
        <w:t>single site access from Tikkurilantie, shared with an operating logistics</w:t>
      </w:r>
    </w:p>
    <w:p>
      <w:r>
        <w:t xml:space="preserve">  neighbour; deliveries restricted to 06:00–22:00 on weekdays.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