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Basis of Schedule — Polaris DC-1 Baseline</w:t>
      </w:r>
    </w:p>
    <w:p>
      <w:r>
        <w:rPr>
          <w:i/>
          <w:iCs/>
          <w:color w:val="666666"/>
        </w:rPr>
        <w:t xml:space="preserve">Generated · 2026-08-01</w:t>
      </w:r>
    </w:p>
    <w:p/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1. Executive Summary</w:t>
      </w:r>
    </w:p>
    <w:p>
      <w:r>
        <w:t xml:space="preserve">The Polaris DC-1 baseline programme comprises 139 activities across a 335-working-day deterministic makespan (Monte-Carlo P50: 385 working days). This covers the design, procurement, construction, commissioning, and handover of four data halls (DH1–DH4), shared infrastructure (substation, generator farm, cooling spine, gatehouse), an admin/NOC building, and external works at the Aviapolis Data Campus, Vantaa, Finland.</w:t>
      </w:r>
    </w:p>
    <w:p>
      <w:r>
        <w:t xml:space="preserve">The programme is built on the Critical Path Method (CPM), with all construction durations derived from NordBuild's historical productivity data (ev_1: 990 analogs across 5 projects) and all procurement lead times taken directly from the project's Procurement Lead Time Register (PDC-LT-001).</w:t>
      </w:r>
    </w:p>
    <w:p>
      <w:r>
        <w:rPr>
          <w:b/>
          <w:bCs/>
        </w:rPr>
        <w:t xml:space="preserve">Contract dates:</w:t>
      </w:r>
      <w:r>
        <w:t xml:space="preserve"> Commencement 2 March 2026. Sectional completion S1 at 14 months (2 May 2027), S2 at 16 months, S3 at 19 months, S4 / Time for Completion at 22 months (2 January 2028).</w:t>
      </w:r>
    </w:p>
    <w:p>
      <w:r>
        <w:rPr>
          <w:b/>
          <w:bCs/>
        </w:rPr>
        <w:t xml:space="preserve">Cost loading:</w:t>
      </w:r>
      <w:r>
        <w:t xml:space="preserve"> €82,970,863 of the €92,400,000 Accepted Contract Amount is loaded onto programme activities (89.8%). The remaining €9,429,137 (10.2%) consists of risk allowances, time-related preliminaries, financial instruments, regulatory appointments, contingency, and BOQ extraction rounding — none of which are attributable to a single construction activity. Every BOQ line item in Sections A through J has been mapped to one or more programme activities. The full reconciliation is in Section 12.</w:t>
      </w:r>
    </w:p>
    <w:p>
      <w:r>
        <w:rPr>
          <w:b/>
          <w:bCs/>
        </w:rPr>
        <w:t xml:space="preserve">Labour:</w:t>
      </w:r>
      <w:r>
        <w:t xml:space="preserve"> €12,993,320 loaded at NordBuild's internal resource rates across 22 resource groups. Non-labour (materials, plant, sublet): €70,046,127 loaded as P6 expenses. The S-curve and histogram represent cost to complete — NordBuild's cost, not sell value.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2026-08-01T02:20:30.897Z</dcterms:created>
  <dcterms:modified xsi:type="dcterms:W3CDTF">2026-08-01T02:20:30.897Z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