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Polaris DC-1 — Contract Review: FIDIC Yellow Book 2017 with Particular Conditions Rev A</w:t>
      </w:r>
    </w:p>
    <w:p>
      <w:r>
        <w:t xml:space="preserve">**Jurisdiction:** Finland</w:t>
      </w:r>
    </w:p>
    <w:p>
      <w:pPr>
        <w:pStyle w:val="Heading1"/>
      </w:pPr>
      <w:r>
        <w:rPr>
          <w:b/>
          <w:bCs/>
        </w:rPr>
        <w:t xml:space="preserve">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t xml:space="preserve">Metric</w:t>
            </w:r>
          </w:p>
        </w:tc>
        <w:tc>
          <w:p>
            <w:r>
              <w:t xml:space="preserve">Value</w:t>
            </w:r>
          </w:p>
        </w:tc>
      </w:tr>
      <w:tr>
        <w:tc>
          <w:p>
            <w:r>
              <w:t xml:space="preserve">Clauses (subject)</w:t>
            </w:r>
          </w:p>
        </w:tc>
        <w:tc>
          <w:p>
            <w:r>
              <w:t xml:space="preserve">52</w:t>
            </w:r>
          </w:p>
        </w:tc>
      </w:tr>
      <w:tr>
        <w:tc>
          <w:p>
            <w:r>
              <w:t xml:space="preserve">Clauses analysed</w:t>
            </w:r>
          </w:p>
        </w:tc>
        <w:tc>
          <w:p>
            <w:r>
              <w:t xml:space="preserve">52</w:t>
            </w:r>
          </w:p>
        </w:tc>
      </w:tr>
      <w:tr>
        <w:tc>
          <w:p>
            <w:r>
              <w:t xml:space="preserve">Status mix</w:t>
            </w:r>
          </w:p>
        </w:tc>
        <w:tc>
          <w:p>
            <w:r>
              <w:t xml:space="preserve">Accepted: 27 Â· Rejected: 11 Â· Acceptable subject to modification: 6 Â· Requires Review (Inferred): 8</w:t>
            </w:r>
          </w:p>
        </w:tc>
      </w:tr>
      <w:tr>
        <w:tc>
          <w:p>
            <w:r>
              <w:t xml:space="preserve">Skills run</w:t>
            </w:r>
          </w:p>
        </w:tc>
        <w:tc>
          <w:p>
            <w:r>
              <w:t xml:space="preserve">â€”</w:t>
            </w:r>
          </w:p>
        </w:tc>
      </w:tr>
      <w:tr>
        <w:tc>
          <w:p>
            <w:r>
              <w:t xml:space="preserve">Check verdict</w:t>
            </w:r>
          </w:p>
        </w:tc>
        <w:tc>
          <w:p>
            <w:r>
              <w:t xml:space="preserve">accept</w:t>
            </w:r>
          </w:p>
        </w:tc>
      </w:tr>
      <w:tr>
        <w:tc>
          <w:p>
            <w:r>
              <w:t xml:space="preserve">Review verdict</w:t>
            </w:r>
          </w:p>
        </w:tc>
        <w:tc>
          <w:p>
            <w:r>
              <w:t xml:space="preserve">not reviewed</w:t>
            </w:r>
          </w:p>
        </w:tc>
      </w:tr>
    </w:tbl>
    <w:p/>
    <w:p>
      <w:pPr>
        <w:pStyle w:val="Heading1"/>
      </w:pPr>
      <w:r>
        <w:rPr>
          <w:b/>
          <w:bCs/>
        </w:rPr>
        <w:t xml:space="preserve">Clause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t xml:space="preserve">Clause ID</w:t>
            </w:r>
          </w:p>
        </w:tc>
        <w:tc>
          <w:p>
            <w:r>
              <w:t xml:space="preserve">Clause</w:t>
            </w:r>
          </w:p>
        </w:tc>
        <w:tc>
          <w:p>
            <w:r>
              <w:t xml:space="preserve">Status</w:t>
            </w:r>
          </w:p>
        </w:tc>
        <w:tc>
          <w:p>
            <w:r>
              <w:t xml:space="preserve">Justification</w:t>
            </w:r>
          </w:p>
        </w:tc>
        <w:tc>
          <w:p>
            <w:r>
              <w:t xml:space="preserve">Matched DB</w:t>
            </w:r>
          </w:p>
        </w:tc>
      </w:tr>
      <w:tr>
        <w:tc>
          <w:p>
            <w:r>
              <w:t xml:space="preserve"/>
            </w:r>
          </w:p>
        </w:tc>
        <w:tc>
          <w:p>
            <w:r>
              <w:t xml:space="preserve">These Particular Conditions amend the __FIDIC Conditions of Contract for Plant and Design-Build, Second Edition 2017__ (the "General Conditions"). This document must be read __together with__ the General Conditions. Where a provision below deletes or replaces a Sub-Clause of the General Conditions, the General Conditions as amended form the Contract. __This document alone does not state the full obligations of either Party.__ Sub-Clause numbering follows the General Conditions. Order of precedence is as stated in Sub-Clause 1.5 of the General Conditions, as amended by Part B below.</w:t>
            </w:r>
          </w:p>
        </w:tc>
        <w:tc>
          <w:p>
            <w:r>
              <w:t xml:space="preserve">Accepted</w:t>
            </w:r>
          </w:p>
        </w:tc>
        <w:tc>
          <w:p>
            <w:r>
              <w:t xml:space="preserve">Non-contractual item — no obligations to assess.</w:t>
            </w:r>
          </w:p>
        </w:tc>
        <w:tc>
          <w:p>
            <w:r>
              <w:t xml:space="preserve"/>
            </w:r>
          </w:p>
        </w:tc>
      </w:tr>
      <w:tr>
        <w:tc>
          <w:p>
            <w:r>
              <w:t xml:space="preserve">1.1</w:t>
            </w:r>
          </w:p>
        </w:tc>
        <w:tc>
          <w:p>
            <w:r>
              <w:t xml:space="preserve">Employer Polaris Digital Infrastructure Oy, Business ID 3241887-4, Aviapolis, Vantaa</w:t>
            </w:r>
          </w:p>
        </w:tc>
        <w:tc>
          <w:p>
            <w:r>
              <w:t xml:space="preserve">Accepted</w:t>
            </w:r>
          </w:p>
        </w:tc>
        <w:tc>
          <w:p>
            <w:r>
              <w:t xml:space="preserve">Non-contractual item — no obligations to assess.</w:t>
            </w:r>
          </w:p>
        </w:tc>
        <w:tc>
          <w:p>
            <w:r>
              <w:t xml:space="preserve"/>
            </w:r>
          </w:p>
        </w:tc>
      </w:tr>
      <w:tr>
        <w:tc>
          <w:p>
            <w:r>
              <w:t xml:space="preserve">1.1</w:t>
            </w:r>
          </w:p>
        </w:tc>
        <w:tc>
          <w:p>
            <w:r>
              <w:t xml:space="preserve">Contractor NordBuild Oy, Business ID 1998442-1, Helsinki</w:t>
            </w:r>
          </w:p>
        </w:tc>
        <w:tc>
          <w:p>
            <w:r>
              <w:t xml:space="preserve">Accepted</w:t>
            </w:r>
          </w:p>
        </w:tc>
        <w:tc>
          <w:p>
            <w:r>
              <w:t xml:space="preserve">Non-contractual item — no obligations to assess.</w:t>
            </w:r>
          </w:p>
        </w:tc>
        <w:tc>
          <w:p>
            <w:r>
              <w:t xml:space="preserve"/>
            </w:r>
          </w:p>
        </w:tc>
      </w:tr>
      <w:tr>
        <w:tc>
          <w:p>
            <w:r>
              <w:t xml:space="preserve">1.1</w:t>
            </w:r>
          </w:p>
        </w:tc>
        <w:tc>
          <w:p>
            <w:r>
              <w:t xml:space="preserve">Engineer Norvia Consulting Oy, Helsinki</w:t>
            </w:r>
          </w:p>
        </w:tc>
        <w:tc>
          <w:p>
            <w:r>
              <w:t xml:space="preserve">Accepted</w:t>
            </w:r>
          </w:p>
        </w:tc>
        <w:tc>
          <w:p>
            <w:r>
              <w:t xml:space="preserve">Non-contractual item — no obligations to assess.</w:t>
            </w:r>
          </w:p>
        </w:tc>
        <w:tc>
          <w:p>
            <w:r>
              <w:t xml:space="preserve"/>
            </w:r>
          </w:p>
        </w:tc>
      </w:tr>
      <w:tr>
        <w:tc>
          <w:p>
            <w:r>
              <w:t xml:space="preserve">1.1</w:t>
            </w:r>
          </w:p>
        </w:tc>
        <w:tc>
          <w:p>
            <w:r>
              <w:t xml:space="preserve">Accepted Contract Amount EUR 92,400,000</w:t>
            </w:r>
          </w:p>
        </w:tc>
        <w:tc>
          <w:p>
            <w:r>
              <w:t xml:space="preserve">Accepted</w:t>
            </w:r>
          </w:p>
        </w:tc>
        <w:tc>
          <w:p>
            <w:r>
              <w:t xml:space="preserve">Standard contract sum clause. The amount is stated without additional VAT detail, but this is typical for a simple contract data item. The database contains similar clauses (e.g., Contract1 C-004) that include VAT details; however, the omission is not a material deviation as VAT treatment is governed by Finnish law.</w:t>
            </w:r>
          </w:p>
        </w:tc>
        <w:tc>
          <w:p>
            <w:r>
              <w:t xml:space="preserve">HEL-OB-2023-001:rc-0</w:t>
            </w:r>
          </w:p>
        </w:tc>
      </w:tr>
      <w:tr>
        <w:tc>
          <w:p>
            <w:r>
              <w:t xml:space="preserve">1.1</w:t>
            </w:r>
          </w:p>
        </w:tc>
        <w:tc>
          <w:p>
            <w:r>
              <w:t xml:space="preserve">Base Date 12 December 2025</w:t>
            </w:r>
          </w:p>
        </w:tc>
        <w:tc>
          <w:p>
            <w:r>
              <w:t xml:space="preserve">Accepted</w:t>
            </w:r>
          </w:p>
        </w:tc>
        <w:tc>
          <w:p>
            <w:r>
              <w:t xml:space="preserve">Non-contractual item — no obligations to assess.</w:t>
            </w:r>
          </w:p>
        </w:tc>
        <w:tc>
          <w:p>
            <w:r>
              <w:t xml:space="preserve"/>
            </w:r>
          </w:p>
        </w:tc>
      </w:tr>
      <w:tr>
        <w:tc>
          <w:p>
            <w:r>
              <w:t xml:space="preserve">1.1</w:t>
            </w:r>
          </w:p>
        </w:tc>
        <w:tc>
          <w:p>
            <w:r>
              <w:t xml:space="preserve">Commencement Date 2 March 2026</w:t>
            </w:r>
          </w:p>
        </w:tc>
        <w:tc>
          <w:p>
            <w:r>
              <w:t xml:space="preserve">Accepted</w:t>
            </w:r>
          </w:p>
        </w:tc>
        <w:tc>
          <w:p>
            <w:r>
              <w:t xml:space="preserve">Non-contractual item — no obligations to assess.</w:t>
            </w:r>
          </w:p>
        </w:tc>
        <w:tc>
          <w:p>
            <w:r>
              <w:t xml:space="preserve"/>
            </w:r>
          </w:p>
        </w:tc>
      </w:tr>
      <w:tr>
        <w:tc>
          <w:p>
            <w:r>
              <w:t xml:space="preserve">1.4</w:t>
            </w:r>
          </w:p>
        </w:tc>
        <w:tc>
          <w:p>
            <w:r>
              <w:t xml:space="preserve">Governing Law The law of Finland</w:t>
            </w:r>
          </w:p>
        </w:tc>
        <w:tc>
          <w:p>
            <w:r>
              <w:t xml:space="preserve">Accepted</w:t>
            </w:r>
          </w:p>
        </w:tc>
        <w:tc>
          <w:p>
            <w:r>
              <w:t xml:space="preserve">Governing law of Finland matches all Finnish database contracts (e.g., Contract1 C-001). Standard and acceptable.</w:t>
            </w:r>
          </w:p>
        </w:tc>
        <w:tc>
          <w:p>
            <w:r>
              <w:t xml:space="preserve">HEL-OB-2023-001:rc-0</w:t>
            </w:r>
          </w:p>
        </w:tc>
      </w:tr>
      <w:tr>
        <w:tc>
          <w:p>
            <w:r>
              <w:t xml:space="preserve">1.4</w:t>
            </w:r>
          </w:p>
        </w:tc>
        <w:tc>
          <w:p>
            <w:r>
              <w:t xml:space="preserve">Ruling language English</w:t>
            </w:r>
          </w:p>
        </w:tc>
        <w:tc>
          <w:p>
            <w:r>
              <w:t xml:space="preserve">Accepted</w:t>
            </w:r>
          </w:p>
        </w:tc>
        <w:tc>
          <w:p>
            <w:r>
              <w:t xml:space="preserve">Ruling language English is common in international projects. Database contracts typically specify Finnish and English with Finnish prevailing; this clause sets English as ruling language but is acceptable for a project with foreign parties.</w:t>
            </w:r>
          </w:p>
        </w:tc>
        <w:tc>
          <w:p>
            <w:r>
              <w:t xml:space="preserve">HEL-OB-2023-001:rc-0</w:t>
            </w:r>
          </w:p>
        </w:tc>
      </w:tr>
      <w:tr>
        <w:tc>
          <w:p>
            <w:r>
              <w:t xml:space="preserve">1.4</w:t>
            </w:r>
          </w:p>
        </w:tc>
        <w:tc>
          <w:p>
            <w:r>
              <w:t xml:space="preserve">Language for communications English. Statutory submissions to authorities in Finnish.</w:t>
            </w:r>
          </w:p>
        </w:tc>
        <w:tc>
          <w:p>
            <w:r>
              <w:t xml:space="preserve">Accepted</w:t>
            </w:r>
          </w:p>
        </w:tc>
        <w:tc>
          <w:p>
            <w:r>
              <w:t xml:space="preserve">Language for communications clause consistent with database practice (e.g., Contract1 C-003). Standard and acceptable.</w:t>
            </w:r>
          </w:p>
        </w:tc>
        <w:tc>
          <w:p>
            <w:r>
              <w:t xml:space="preserve">HEL-OB-2023-001:rc-0</w:t>
            </w:r>
          </w:p>
        </w:tc>
      </w:tr>
      <w:tr>
        <w:tc>
          <w:p>
            <w:r>
              <w:t xml:space="preserve">4.2</w:t>
            </w:r>
          </w:p>
        </w:tc>
        <w:tc>
          <w:p>
            <w:r>
              <w:t xml:space="preserve">Performance Security 10% of the Accepted Contract Amount, on-demand bank guarantee from a bank acceptable to the Employer</w:t>
            </w:r>
          </w:p>
        </w:tc>
        <w:tc>
          <w:p>
            <w:r>
              <w:t xml:space="preserve">Accepted</w:t>
            </w:r>
          </w:p>
        </w:tc>
        <w:tc>
          <w:p>
            <w:r>
              <w:t xml:space="preserve">Performance security of 10% of contract amount on-demand bank guarantee matches the standard in all database contracts (e.g., Contract1 C-029, Contract2 C-036). No deviation.</w:t>
            </w:r>
          </w:p>
        </w:tc>
        <w:tc>
          <w:p>
            <w:r>
              <w:t xml:space="preserve">HEL-OB-2023-001:rc-0</w:t>
            </w:r>
          </w:p>
        </w:tc>
      </w:tr>
      <w:tr>
        <w:tc>
          <w:p>
            <w:r>
              <w:t xml:space="preserve">8.2</w:t>
            </w:r>
          </w:p>
        </w:tc>
        <w:tc>
          <w:p>
            <w:r>
              <w:t xml:space="preserve">Time for Completion — whole of the Works 22 months from the Commencement Date</w:t>
            </w:r>
          </w:p>
        </w:tc>
        <w:tc>
          <w:p>
            <w:r>
              <w:t xml:space="preserve">Accepted</w:t>
            </w:r>
          </w:p>
        </w:tc>
        <w:tc>
          <w:p>
            <w:r>
              <w:t xml:space="preserve">Time for completion of 22 months is within the range of database project durations (22-42 months). Standard and acceptable.</w:t>
            </w:r>
          </w:p>
        </w:tc>
        <w:tc>
          <w:p>
            <w:r>
              <w:t xml:space="preserve">HEL-OB-2023-001:rc-0</w:t>
            </w:r>
          </w:p>
        </w:tc>
      </w:tr>
      <w:tr>
        <w:tc>
          <w:p>
            <w:r>
              <w:t xml:space="preserve">8.2</w:t>
            </w:r>
          </w:p>
        </w:tc>
        <w:tc>
          <w:p>
            <w:r>
              <w:t xml:space="preserve">Sections Four Sections, as set out in the table below</w:t>
            </w:r>
          </w:p>
        </w:tc>
        <w:tc>
          <w:p>
            <w:r>
              <w:t xml:space="preserve">Accepted</w:t>
            </w:r>
          </w:p>
        </w:tc>
        <w:tc>
          <w:p>
            <w:r>
              <w:t xml:space="preserve">Non-contractual item — no obligations to assess (reference to a table below).</w:t>
            </w:r>
          </w:p>
        </w:tc>
        <w:tc>
          <w:p>
            <w:r>
              <w:t xml:space="preserve"/>
            </w:r>
          </w:p>
        </w:tc>
      </w:tr>
      <w:tr>
        <w:tc>
          <w:p>
            <w:r>
              <w:t xml:space="preserve">8.8</w:t>
            </w:r>
          </w:p>
        </w:tc>
        <w:tc>
          <w:p>
            <w:r>
              <w:t xml:space="preserve">Delay Damages Per Section, as set out in the table below</w:t>
            </w:r>
          </w:p>
        </w:tc>
        <w:tc>
          <w:p>
            <w:r>
              <w:t xml:space="preserve">Accepted</w:t>
            </w:r>
          </w:p>
        </w:tc>
        <w:tc>
          <w:p>
            <w:r>
              <w:t xml:space="preserve">Non-contractual item — no obligations to assess (reference to a table below).</w:t>
            </w:r>
          </w:p>
        </w:tc>
        <w:tc>
          <w:p>
            <w:r>
              <w:t xml:space="preserve"/>
            </w:r>
          </w:p>
        </w:tc>
      </w:tr>
      <w:tr>
        <w:tc>
          <w:p>
            <w:r>
              <w:t xml:space="preserve">8.8</w:t>
            </w:r>
          </w:p>
        </w:tc>
        <w:tc>
          <w:p>
            <w:r>
              <w:t xml:space="preserve">Maximum Delay Damages __20% of the Accepted Contract Amount__</w:t>
            </w:r>
          </w:p>
        </w:tc>
        <w:tc>
          <w:p>
            <w:r>
              <w:t xml:space="preserve">Rejected</w:t>
            </w:r>
          </w:p>
        </w:tc>
        <w:tc>
          <w:p>
            <w:r>
              <w:t xml:space="preserve">Maximum delay damages cap of 20% of the Accepted Contract Amount is double the 10% cap consistently used in all database contracts (Contracts 1-5, 7-10). This is a material deviation and commercially unacceptable. The 10% cap is the established precedent.</w:t>
            </w:r>
          </w:p>
        </w:tc>
        <w:tc>
          <w:p>
            <w:r>
              <w:t xml:space="preserve">HEL-OB-2023-001:rc-0</w:t>
            </w:r>
          </w:p>
        </w:tc>
      </w:tr>
      <w:tr>
        <w:tc>
          <w:p>
            <w:r>
              <w:t xml:space="preserve">11.1</w:t>
            </w:r>
          </w:p>
        </w:tc>
        <w:tc>
          <w:p>
            <w:r>
              <w:t xml:space="preserve">Defects Notification Period __36 months__ from the date stated in the Taking-Over Certificate for the relevant Section</w:t>
            </w:r>
          </w:p>
        </w:tc>
        <w:tc>
          <w:p>
            <w:r>
              <w:t xml:space="preserve">Acceptable subject to modification</w:t>
            </w:r>
          </w:p>
        </w:tc>
        <w:tc>
          <w:p>
            <w:r>
              <w:t xml:space="preserve">Defects Notification Period of 36 months exceeds the standard 24-month period used in all database Finnish contracts (e.g., Contract1 C-017, Contract2 C-020). While extended periods may be justified for specialist plant, a 36-month general DLP is longer than any database precedent and should be aligned to 24 months unless specifically warranted.</w:t>
            </w:r>
          </w:p>
        </w:tc>
        <w:tc>
          <w:p>
            <w:r>
              <w:t xml:space="preserve">HEL-OB-2023-001:rc-0</w:t>
            </w:r>
          </w:p>
        </w:tc>
      </w:tr>
      <w:tr>
        <w:tc>
          <w:p>
            <w:r>
              <w:t xml:space="preserve">13.8</w:t>
            </w:r>
          </w:p>
        </w:tc>
        <w:tc>
          <w:p>
            <w:r>
              <w:t xml:space="preserve">Adjustments for Changes in Cost Not applicable — see Part B</w:t>
            </w:r>
          </w:p>
        </w:tc>
        <w:tc>
          <w:p>
            <w:r>
              <w:t xml:space="preserve">Accepted</w:t>
            </w:r>
          </w:p>
        </w:tc>
        <w:tc>
          <w:p>
            <w:r>
              <w:t xml:space="preserve">No adjustments for changes in cost is consistent with lump sum contracts where the Contractor bears price risk. Database contracts include similar provisions (e.g., Contract9 C-007 with fluctuations only for tax/levy, and Contract1 lump sum with no adjustment clause). Acceptable.</w:t>
            </w:r>
          </w:p>
        </w:tc>
        <w:tc>
          <w:p>
            <w:r>
              <w:t xml:space="preserve">HEL-OB-2023-001:rc-0</w:t>
            </w:r>
          </w:p>
        </w:tc>
      </w:tr>
      <w:tr>
        <w:tc>
          <w:p>
            <w:r>
              <w:t xml:space="preserve">14.2</w:t>
            </w:r>
          </w:p>
        </w:tc>
        <w:tc>
          <w:p>
            <w:r>
              <w:t xml:space="preserve">Advance Payment __None__</w:t>
            </w:r>
          </w:p>
        </w:tc>
        <w:tc>
          <w:p>
            <w:r>
              <w:t xml:space="preserve">Accepted</w:t>
            </w:r>
          </w:p>
        </w:tc>
        <w:tc>
          <w:p>
            <w:r>
              <w:t xml:space="preserve">No advance payment is a permissible option. Contract1 also had no advance payment. Other contracts do include advance payments, but the absence is not a deviation from an accepted practice range.</w:t>
            </w:r>
          </w:p>
        </w:tc>
        <w:tc>
          <w:p>
            <w:r>
              <w:t xml:space="preserve">HEL-OB-2023-001:rc-0</w:t>
            </w:r>
          </w:p>
        </w:tc>
      </w:tr>
      <w:tr>
        <w:tc>
          <w:p>
            <w:r>
              <w:t xml:space="preserve">14.3</w:t>
            </w:r>
          </w:p>
        </w:tc>
        <w:tc>
          <w:p>
            <w:r>
              <w:t xml:space="preserve">Retention __10% of each Interim Payment Certificate__, cash retention only</w:t>
            </w:r>
          </w:p>
        </w:tc>
        <w:tc>
          <w:p>
            <w:r>
              <w:t xml:space="preserve">Acceptable subject to modification</w:t>
            </w:r>
          </w:p>
        </w:tc>
        <w:tc>
          <w:p>
            <w:r>
              <w:t xml:space="preserve">Retention rate of 10% is higher than the 5% standard in most database contracts (Contracts 2-5, 7-10). Only Contract1 used 10%. Additionally, cash retention only without a bond option is more onerous on the Contractor, whereas some contracts allow retention bond substitution (e.g., Contract2 C-010). Recommend reducing to 5% and adding a retention bond option.</w:t>
            </w:r>
          </w:p>
        </w:tc>
        <w:tc>
          <w:p>
            <w:r>
              <w:t xml:space="preserve">HEL-OB-2023-001:rc-0</w:t>
            </w:r>
          </w:p>
        </w:tc>
      </w:tr>
      <w:tr>
        <w:tc>
          <w:p>
            <w:r>
              <w:t xml:space="preserve">14.3</w:t>
            </w:r>
          </w:p>
        </w:tc>
        <w:tc>
          <w:p>
            <w:r>
              <w:t xml:space="preserve">Limit of Retention Money No limit</w:t>
            </w:r>
          </w:p>
        </w:tc>
        <w:tc>
          <w:p>
            <w:r>
              <w:t xml:space="preserve">Rejected</w:t>
            </w:r>
          </w:p>
        </w:tc>
        <w:tc>
          <w:p>
            <w:r>
              <w:t xml:space="preserve">No limit on retention money is unprecedented in the database. All contracts specify either a maximum aggregate retention (e.g., Contract4: EUR 2,000,000) or a percentage reduction at completion. An unlimited retention could accumulate to a disproportionate amount, exposing the Contractor to severe cash flow risk.</w:t>
            </w:r>
          </w:p>
        </w:tc>
        <w:tc>
          <w:p>
            <w:r>
              <w:t xml:space="preserve">HEL-OB-2023-001:rc-0</w:t>
            </w:r>
          </w:p>
        </w:tc>
      </w:tr>
      <w:tr>
        <w:tc>
          <w:p>
            <w:r>
              <w:t xml:space="preserve">14.6</w:t>
            </w:r>
          </w:p>
        </w:tc>
        <w:tc>
          <w:p>
            <w:r>
              <w:t xml:space="preserve">Period for the Engineer to issue an Interim Payment Certificate __42 days__ after receipt of the Statement and supporting documents</w:t>
            </w:r>
          </w:p>
        </w:tc>
        <w:tc>
          <w:p>
            <w:r>
              <w:t xml:space="preserve">Rejected</w:t>
            </w:r>
          </w:p>
        </w:tc>
        <w:tc>
          <w:p>
            <w:r>
              <w:t xml:space="preserve">Engineer certification period of 42 days is far beyond the database standard of 7-14 days (e.g., Contract2: 7 days, Contract3: 7 days, Contract4: 10 days). This creates unacceptable delay in cash flow and is a material deviation. A 14-day period is the maximum seen in the database.</w:t>
            </w:r>
          </w:p>
        </w:tc>
        <w:tc>
          <w:p>
            <w:r>
              <w:t xml:space="preserve">HEL-OB-2023-001:rc-0</w:t>
            </w:r>
          </w:p>
        </w:tc>
      </w:tr>
      <w:tr>
        <w:tc>
          <w:p>
            <w:r>
              <w:t xml:space="preserve">14.7</w:t>
            </w:r>
          </w:p>
        </w:tc>
        <w:tc>
          <w:p>
            <w:r>
              <w:t xml:space="preserve">Period for payment by the Employer __75 days__ after the Engineer issues the Interim Payment Certificate</w:t>
            </w:r>
          </w:p>
        </w:tc>
        <w:tc>
          <w:p>
            <w:r>
              <w:t xml:space="preserve">Rejected</w:t>
            </w:r>
          </w:p>
        </w:tc>
        <w:tc>
          <w:p>
            <w:r>
              <w:t xml:space="preserve">Payment period of 75 days after certification is extremely long. Combined with the 42-day certification period, the total time from statement to payment could exceed 117 days. Database contracts range from 14 to 45 days from certification (e.g., Contract2: 28 days, Contract3: 28 days, Contract1: 45 days). This is a material deviation that would severely impair the Contractor's cash flow.</w:t>
            </w:r>
          </w:p>
        </w:tc>
        <w:tc>
          <w:p>
            <w:r>
              <w:t xml:space="preserve">HEL-OB-2023-001:rc-0</w:t>
            </w:r>
          </w:p>
        </w:tc>
      </w:tr>
      <w:tr>
        <w:tc>
          <w:p>
            <w:r>
              <w:t xml:space="preserve">14.8</w:t>
            </w:r>
          </w:p>
        </w:tc>
        <w:tc>
          <w:p>
            <w:r>
              <w:t xml:space="preserve">Financing charges on delayed payment 2% per annum above the European Central Bank main refinancing rate</w:t>
            </w:r>
          </w:p>
        </w:tc>
        <w:tc>
          <w:p>
            <w:r>
              <w:t xml:space="preserve">Rejected</w:t>
            </w:r>
          </w:p>
        </w:tc>
        <w:tc>
          <w:p>
            <w:r>
              <w:t xml:space="preserve">Financing rate of 2% per annum above ECB base rate is well below the statutory rate of 8% above ECB base rate used in all database contracts (e.g., Contract1 C-010, Contract2 C-011, Contract3 C-015). This low rate would be challenged as a penalty under Finnish law? Actually, it is less than statutory, so it disadvantages the Contractor. The 8% rate is the established standard.</w:t>
            </w:r>
          </w:p>
        </w:tc>
        <w:tc>
          <w:p>
            <w:r>
              <w:t xml:space="preserve">HEL-OB-2023-001:rc-0</w:t>
            </w:r>
          </w:p>
        </w:tc>
      </w:tr>
      <w:tr>
        <w:tc>
          <w:p>
            <w:r>
              <w:t xml:space="preserve">14.9</w:t>
            </w:r>
          </w:p>
        </w:tc>
        <w:tc>
          <w:p>
            <w:r>
              <w:t xml:space="preserve">Release of Retention Money — See Part B (actual terms in SP-13)</w:t>
            </w:r>
          </w:p>
        </w:tc>
        <w:tc>
          <w:p>
            <w:r>
              <w:t xml:space="preserve">Rejected</w:t>
            </w:r>
          </w:p>
        </w:tc>
        <w:tc>
          <w:p>
            <w:r>
              <w:t xml:space="preserve">Cross-reference to Part B. The actual retention terms in SP-13 (row 41) are rejected: 10% retention (vs 5% norm), no reduction at TOC (vs 2.5% release at PC), no bond substitution permitted. Historical database shows our precedent contracts consistently allow: 5% retention reducing to 2.5% at PC and bond substitution. This clause imposes a ~€9.24M cash-flow lock-up for 36+ months with no release pathway.</w:t>
            </w:r>
          </w:p>
        </w:tc>
        <w:tc>
          <w:p>
            <w:r>
              <w:t xml:space="preserve"/>
            </w:r>
          </w:p>
        </w:tc>
      </w:tr>
      <w:tr>
        <w:tc>
          <w:p>
            <w:r>
              <w:t xml:space="preserve">19.2.1</w:t>
            </w:r>
          </w:p>
        </w:tc>
        <w:tc>
          <w:p>
            <w:r>
              <w:t xml:space="preserve">Insurance of the Works Full reinstatement value plus 15%, in the joint names of the Parties</w:t>
            </w:r>
          </w:p>
        </w:tc>
        <w:tc>
          <w:p>
            <w:r>
              <w:t xml:space="preserve">Accepted</w:t>
            </w:r>
          </w:p>
        </w:tc>
        <w:tc>
          <w:p>
            <w:r>
              <w:t xml:space="preserve">Insurance of the Works for full reinstatement value plus 15% in joint names is standard. Database contracts require full replacement value (e.g., Contract1 C-021, Contract2 C-023). The additional 15% margin for professional fees is common in CAR policies. Acceptable.</w:t>
            </w:r>
          </w:p>
        </w:tc>
        <w:tc>
          <w:p>
            <w:r>
              <w:t xml:space="preserve">HEL-OB-2023-001:rc-0</w:t>
            </w:r>
          </w:p>
        </w:tc>
      </w:tr>
      <w:tr>
        <w:tc>
          <w:p>
            <w:r>
              <w:t xml:space="preserve">19.2.3</w:t>
            </w:r>
          </w:p>
        </w:tc>
        <w:tc>
          <w:p>
            <w:r>
              <w:t xml:space="preserve">Professional indemnity insurance EUR 10,000,000 each and every claim, maintained for 6 years after the last Taking-Over Certificate</w:t>
            </w:r>
          </w:p>
        </w:tc>
        <w:tc>
          <w:p>
            <w:r>
              <w:t xml:space="preserve">Accepted</w:t>
            </w:r>
          </w:p>
        </w:tc>
        <w:tc>
          <w:p>
            <w:r>
              <w:t xml:space="preserve">Professional indemnity insurance of EUR 10,000,000 per claim with 6-year run-off is within the database range. Contract2 C-025 requires EUR 5,000,000 per claim, Contract4 C-025 requires EUR 10,000,000. The 6-year period is within the 6-10 year range. Acceptable.</w:t>
            </w:r>
          </w:p>
        </w:tc>
        <w:tc>
          <w:p>
            <w:r>
              <w:t xml:space="preserve">HEL-ST-2024-002:rc-0</w:t>
            </w:r>
          </w:p>
        </w:tc>
      </w:tr>
      <w:tr>
        <w:tc>
          <w:p>
            <w:r>
              <w:t xml:space="preserve">19.2.4</w:t>
            </w:r>
          </w:p>
        </w:tc>
        <w:tc>
          <w:p>
            <w:r>
              <w:t xml:space="preserve">Third party liability EUR 5,000,000 per occurrence, unlimited in the aggregate</w:t>
            </w:r>
          </w:p>
        </w:tc>
        <w:tc>
          <w:p>
            <w:r>
              <w:t xml:space="preserve">Acceptable subject to modification</w:t>
            </w:r>
          </w:p>
        </w:tc>
        <w:tc>
          <w:p>
            <w:r>
              <w:t xml:space="preserve">Third party liability limit of EUR 5,000,000 per occurrence is at the lower end of the database range (EUR 5M-15M per occurrence). Unlimited aggregate is unusual; all database contracts specify an aggregate limit (e.g., Contract1: EUR 10,000,000 aggregate, Contract2: EUR 20,000,000 aggregate, Contract3: EUR 25,000,000 aggregate). Recommend adding an aggregate limit of EUR 10,000,000.</w:t>
            </w:r>
          </w:p>
        </w:tc>
        <w:tc>
          <w:p>
            <w:r>
              <w:t xml:space="preserve">HEL-OB-2023-001:rc-0</w:t>
            </w:r>
          </w:p>
        </w:tc>
      </w:tr>
      <w:tr>
        <w:tc>
          <w:p>
            <w:r>
              <w:t xml:space="preserve">21.6</w:t>
            </w:r>
          </w:p>
        </w:tc>
        <w:tc>
          <w:p>
            <w:r>
              <w:t xml:space="preserve">Arbitration — See Part B (actual terms in SP-17: LCIA London, English, 3 arbitrators)</w:t>
            </w:r>
          </w:p>
        </w:tc>
        <w:tc>
          <w:p>
            <w:r>
              <w:t xml:space="preserve">Requires Review (Inferred)</w:t>
            </w:r>
          </w:p>
        </w:tc>
        <w:tc>
          <w:p>
            <w:r>
              <w:t xml:space="preserve">Cross-reference to Part B. The actual arbitration terms are in SP-17 (row 45): LCIA London, English language, 3 arbitrators. For a project governed by Finnish law with all parties in Finland, an LCIA London seat is unusual — it introduces significant jurisdictional cost and removes the dispute from Finnish courts.</w:t>
            </w:r>
          </w:p>
        </w:tc>
        <w:tc>
          <w:p>
            <w:r>
              <w:t xml:space="preserve"/>
            </w:r>
          </w:p>
        </w:tc>
      </w:tr>
      <w:tr>
        <w:tc>
          <w:p>
            <w:r>
              <w:t xml:space="preserve"/>
            </w:r>
          </w:p>
        </w:tc>
        <w:tc>
          <w:p>
            <w:r>
              <w:t xml:space="preserve">Sections, Times for Completion and Delay Damages __Section__ __Scope__ __Time for Completion__ __Delay Damages__ 1 Data Hall 1, primary substation, generator compound, shared cooling spine sized for the full 10 MW, site access, gatehouse Month 14 __EUR 18,000 per day__ 2 Data Hall 2 and associated plant Month 16 __EUR 12,000 per day__ 3 Data Hall 3 and associated plant Month 19 __EUR 12,000 per day__ 4 Data Hall 4, administration and NOC block, external works, landscaping Month 22 __EUR 10,000 per day__ Delay Damages for each Section accrue independently. Where two or more Sections are concurrently in delay, Delay Damages accrue __cumulatively__ for each such Section.</w:t>
            </w:r>
          </w:p>
        </w:tc>
        <w:tc>
          <w:p>
            <w:r>
              <w:t xml:space="preserve">Acceptable subject to modification</w:t>
            </w:r>
          </w:p>
        </w:tc>
        <w:tc>
          <w:p>
            <w:r>
              <w:t xml:space="preserve">Sectional delay damages table sets varying daily rates. While individual rates are proportionate to the contract value compared to database precedents, the cumulative application of delay damages for concurrent delays (Laddering) is not standard. Database contracts do not typically allow cumulative LDs for concurrent delays on separate sections (e.g., Contract2 C-015 specifies that sectional LDs are credited against overall cap). The maximum cap of 20% (already flagged) is also problematic. Recommend modifying to non-cumulative and aligning cap with 10%.</w:t>
            </w:r>
          </w:p>
        </w:tc>
        <w:tc>
          <w:p>
            <w:r>
              <w:t xml:space="preserve">HEL-ST-2024-002:rc-0</w:t>
            </w:r>
          </w:p>
        </w:tc>
      </w:tr>
      <w:tr>
        <w:tc>
          <w:p>
            <w:r>
              <w:t xml:space="preserve">SP-1</w:t>
            </w:r>
          </w:p>
        </w:tc>
        <w:tc>
          <w:p>
            <w:r>
              <w:t xml:space="preserve">The list in Sub-Clause 1.5 is deleted and replaced by the following order of priority: 1. the Contract Agreement; 2. the Letter of Acceptance; 3. these Particular Conditions (Part B, then Part A); 4. the General Conditions; 5. the Employer's Requirements; 6. the Anchor Tenant Technical Annex; 7. the Schedules and the Contractor's Proposal; 8. any other document forming part of the Contract.</w:t>
            </w:r>
          </w:p>
        </w:tc>
        <w:tc>
          <w:p>
            <w:r>
              <w:t xml:space="preserve">Accepted</w:t>
            </w:r>
          </w:p>
        </w:tc>
        <w:tc>
          <w:p>
            <w:r>
              <w:t xml:space="preserve">Order of precedence amendment is consistent with database contracts (e.g., Contract1 C-001 includes a similar hierarchy). Adding the Anchor Tenant Technical Annex is specific to this project but not a deviation from standard practice.</w:t>
            </w:r>
          </w:p>
        </w:tc>
        <w:tc>
          <w:p>
            <w:r>
              <w:t xml:space="preserve">HEL-OB-2023-001:rc-0</w:t>
            </w:r>
          </w:p>
        </w:tc>
      </w:tr>
      <w:tr>
        <w:tc>
          <w:p>
            <w:r>
              <w:t xml:space="preserve">SP-2</w:t>
            </w:r>
          </w:p>
        </w:tc>
        <w:tc>
          <w:p>
            <w:r>
              <w:t xml:space="preserve">__Sub-Clause 1.9 is deleted in its entirety.__ The Contractor shall be deemed to have examined the Employer's Requirements and the Anchor Tenant Technical Annex before the Base Date and to have satisfied itself as to their accuracy, sufficiency and completeness. No error, omission or inconsistency in those documents shall entitle the Contractor to any extension of time, additional payment, or relief from any performance guarantee.</w:t>
            </w:r>
          </w:p>
        </w:tc>
        <w:tc>
          <w:p>
            <w:r>
              <w:t xml:space="preserve">Requires Review (Inferred)</w:t>
            </w:r>
          </w:p>
        </w:tc>
        <w:tc>
          <w:p>
            <w:r>
              <w:t xml:space="preserve">No direct match in database. The clause deletes Sub-Clause 1.9 of FIDIC and replaces it with a broad disclaimer that the Contractor is deemed to have examined and accepted the Employer's Requirements and Anchor Tenant Technical Annex without any right to relief for errors or omissions. This significantly shifts risk to the Contractor and is not found in any database contract (which typically allow for errors in Employer's documents under YSE). Requires legal review to assess enforceability under Finnish law.</w:t>
            </w:r>
          </w:p>
        </w:tc>
        <w:tc>
          <w:p>
            <w:r>
              <w:t xml:space="preserve"/>
            </w:r>
          </w:p>
        </w:tc>
      </w:tr>
      <w:tr>
        <w:tc>
          <w:p>
            <w:r>
              <w:t xml:space="preserve">SP-3</w:t>
            </w:r>
          </w:p>
        </w:tc>
        <w:tc>
          <w:p>
            <w:r>
              <w:t xml:space="preserve">__Sub-Clause 1.15 is deleted in its entirety.__</w:t>
            </w:r>
          </w:p>
        </w:tc>
        <w:tc>
          <w:p>
            <w:r>
              <w:t xml:space="preserve">Requires Review (Inferred)</w:t>
            </w:r>
          </w:p>
        </w:tc>
        <w:tc>
          <w:p>
            <w:r>
              <w:t xml:space="preserve">No direct match in database. The clause deletes Sub-Clause 1.15 of FIDIC (Limitation of Liability) and replaces it with nothing. This could expose the Contractor to unlimited liability, which is a fundamental change from the standard FIDIC 2017 provisions and from database contracts where limitations are typically specified. Requires review to determine if any replacement limitation exists elsewhere in the contract.</w:t>
            </w:r>
          </w:p>
        </w:tc>
        <w:tc>
          <w:p>
            <w:r>
              <w:t xml:space="preserve"/>
            </w:r>
          </w:p>
        </w:tc>
      </w:tr>
      <w:tr>
        <w:tc>
          <w:p>
            <w:r>
              <w:t xml:space="preserve">SP-4</w:t>
            </w:r>
          </w:p>
        </w:tc>
        <w:tc>
          <w:p>
            <w:r>
              <w:t xml:space="preserve">The following is added to Sub-Clause 4.4: "(e) Every subcontract shall provide for payment to the Subcontractor no earlier than 60 days after the Subcontractor's valid invoice, and shall provide that no sum becomes due to the Subcontractor in respect of any work unless and until the Employer has paid the Contractor for that work.  (f) The Contractor shall procure and maintain evidence of each Subcontractor's compliance with the Act on the Contractor's Obligations and Liability when Work is Contracted Out (1233/2006), and shall produce that evidence to the Engineer at intervals not exceeding three months."</w:t>
            </w:r>
          </w:p>
        </w:tc>
        <w:tc>
          <w:p>
            <w:r>
              <w:t xml:space="preserve">Rejected</w:t>
            </w:r>
          </w:p>
        </w:tc>
        <w:tc>
          <w:p>
            <w:r>
              <w:t xml:space="preserve">The proposed addition to Sub-Clause 4.4 includes 'pay-when-paid' provisions and payment timing terms that contradict Finnish law. Under YSE 1998 (which applies as general conditions) and Finnish practice, subcontractors must be paid regardless of whether the Employer has paid the Contractor. Pay-when-paid clauses are generally unenforceable. The 60-day payment period is also excessive. The Tilaajavastuulaki compliance requirement is acceptable. Recommend redrafting without pay-when-paid and with a 30-day subcontractor payment period, consistent with database contracts (e.g., Contract2 C-029).</w:t>
            </w:r>
          </w:p>
        </w:tc>
        <w:tc>
          <w:p>
            <w:r>
              <w:t xml:space="preserve">HEL-ST-2024-002:rc-0</w:t>
            </w:r>
          </w:p>
        </w:tc>
      </w:tr>
      <w:tr>
        <w:tc>
          <w:p>
            <w:r>
              <w:t xml:space="preserve">SP-5</w:t>
            </w:r>
          </w:p>
        </w:tc>
        <w:tc>
          <w:p>
            <w:r>
              <w:t xml:space="preserve">__Sub-Clause 4.12 is deleted in its entirety, including Sub-Clauses 4.12.1 to 4.12.5.__ The Contractor accepts full responsibility for all physical conditions at or under the Site, whether or not foreseeable, and shall be deemed to have inspected and examined the Site, its surroundings and the sub-surface conditions and to have satisfied itself as to all matters relating to them. Any site or ground investigation data provided by the Employer is provided for information only, is not warranted, and does not form part of the Contract.</w:t>
            </w:r>
          </w:p>
        </w:tc>
        <w:tc>
          <w:p>
            <w:r>
              <w:t xml:space="preserve">Requires Review (Inferred)</w:t>
            </w:r>
          </w:p>
        </w:tc>
        <w:tc>
          <w:p>
            <w:r>
              <w:t xml:space="preserve">No clause in the database explicitly transfers full risk of site conditions to the Contractor and disclaims Employer-provided data. The database contains standard YSE 1998 risk allocation (e.g., HEL-OB-2023-001 C-016 allows EOT for unforeseeable conditions under specific circumstances; VAN-HC-2024-004 C-012 defines Allowable Costs including unforeseen ground conditions). This clause is far more onerous and lacks precedent.</w:t>
            </w:r>
          </w:p>
        </w:tc>
        <w:tc>
          <w:p>
            <w:r>
              <w:t xml:space="preserve"/>
            </w:r>
          </w:p>
        </w:tc>
      </w:tr>
      <w:tr>
        <w:tc>
          <w:p>
            <w:r>
              <w:t xml:space="preserve">SP-6</w:t>
            </w:r>
          </w:p>
        </w:tc>
        <w:tc>
          <w:p>
            <w:r>
              <w:t xml:space="preserve">The following is added at the end of Sub-Clause 5.1: "The Contractor warrants that it has verified the Employer's Requirements and the Anchor Tenant Technical Annex and that the Works, when completed, will achieve every performance guarantee stated in them, including the annualised PUE, the water use effectiveness figure, the facility availability figure and the waste-heat delivery obligation. This warranty is absolute and is not qualified by any standard of reasonable skill and care."</w:t>
            </w:r>
          </w:p>
        </w:tc>
        <w:tc>
          <w:p>
            <w:r>
              <w:t xml:space="preserve">Accepted</w:t>
            </w:r>
          </w:p>
        </w:tc>
        <w:tc>
          <w:p>
            <w:r>
              <w:t xml:space="preserve">The clause imposes an absolute fitness-for-purpose warranty, matching precedents in the database: ESP-RES-2024-003 C-006 and VAN-HC-2024-004 C-006 both require fitness for purpose and extend liability beyond reasonable skill and care. The specific performance metrics (PUE, WUE) are project-specific but the core obligation aligns with standard D&amp;B warranty language. No commercial values differ unfavorably from precedent.</w:t>
            </w:r>
          </w:p>
        </w:tc>
        <w:tc>
          <w:p>
            <w:r>
              <w:t xml:space="preserve">ESP-RES-2024-003:rc-0</w:t>
            </w:r>
          </w:p>
        </w:tc>
      </w:tr>
      <w:tr>
        <w:tc>
          <w:p>
            <w:r>
              <w:t xml:space="preserve">SP-7</w:t>
            </w:r>
          </w:p>
        </w:tc>
        <w:tc>
          <w:p>
            <w:r>
              <w:t xml:space="preserve">The following is added at the end of Sub-Clause 8.5: "Notwithstanding any other provision, the Contractor shall have no entitlement to an extension of the Time for Completion of any Section in respect of any period during which a delay for which the Contractor is responsible is concurrent, in whole or in part, with a delay for which an extension might otherwise be granted. In such a case the whole of the concurrent period shall be treated as Contractor-culpable delay."</w:t>
            </w:r>
          </w:p>
        </w:tc>
        <w:tc>
          <w:p>
            <w:r>
              <w:t xml:space="preserve">Requires Review (Inferred)</w:t>
            </w:r>
          </w:p>
        </w:tc>
        <w:tc>
          <w:p>
            <w:r>
              <w:t xml:space="preserve">No clause in the database addresses concurrent delay in such a one-sided manner (treating whole concurrent period as Contractor-culpable). All EOT clauses in the database (e.g., HEL-OB-2023-001 C-015, HEL-ST-2024-002 C-017, VAN-HC-2024-004 C-020) remain silent on concurrency or follow standard causation principles. This clause is a significant departure from established precedent.</w:t>
            </w:r>
          </w:p>
        </w:tc>
        <w:tc>
          <w:p>
            <w:r>
              <w:t xml:space="preserve"/>
            </w:r>
          </w:p>
        </w:tc>
      </w:tr>
      <w:tr>
        <w:tc>
          <w:p>
            <w:r>
              <w:t xml:space="preserve">SP-8</w:t>
            </w:r>
          </w:p>
        </w:tc>
        <w:tc>
          <w:p>
            <w:r>
              <w:t xml:space="preserve">The following is added at the end of Sub-Clause 8.8: "The Parties agree that the Delay Damages stated in Part A are a genuine pre-estimate of the Employer's loss, including its liability for service credits to the Tenant, and are not a penalty. The Contractor waives any right to challenge their quantum. Payment of Delay Damages up to the maximum stated in Part A does not limit the Employer's right to recover damages for any other breach, whether or not that breach also caused delay."</w:t>
            </w:r>
          </w:p>
        </w:tc>
        <w:tc>
          <w:p>
            <w:r>
              <w:t xml:space="preserve">Acceptable subject to modification</w:t>
            </w:r>
          </w:p>
        </w:tc>
        <w:tc>
          <w:p>
            <w:r>
              <w:t xml:space="preserve">The clause mirrors standard LD language (genuine pre-estimate, cap) found in HEL-ST-2024-002 C-016 and others. However, the waiver of the right to challenge quantum and the express preservation of other damages beyond LADs are novel. The database LD clauses do not contain a waiver provision. Suggest aligning with precedent by removing the waiver sentence or adding a mutual waiver clause. Commercial values (LD rate and cap) are not specified here but will be in Part A; need cross-reference.</w:t>
            </w:r>
          </w:p>
        </w:tc>
        <w:tc>
          <w:p>
            <w:r>
              <w:t xml:space="preserve">HEL-ST-2024-002:rc-0</w:t>
            </w:r>
          </w:p>
        </w:tc>
      </w:tr>
      <w:tr>
        <w:tc>
          <w:p>
            <w:r>
              <w:t xml:space="preserve">SP-9</w:t>
            </w:r>
          </w:p>
        </w:tc>
        <w:tc>
          <w:p>
            <w:r>
              <w:t xml:space="preserve">The following is added: "The Contractor shall commence execution of any Variation instructed under Sub-Clause 13.3.1 immediately on receipt of the instruction, whether or not the adjustment to the Contract Price and to the Time for Completion has been agreed or determined. Failure to proceed immediately shall be a substantial failure to perform for the purposes of Sub-Clause 15.2."</w:t>
            </w:r>
          </w:p>
        </w:tc>
        <w:tc>
          <w:p>
            <w:r>
              <w:t xml:space="preserve">Acceptable subject to modification</w:t>
            </w:r>
          </w:p>
        </w:tc>
        <w:tc>
          <w:p>
            <w:r>
              <w:t xml:space="preserve">Requiring immediate execution of Variations before pricing is agreed is found in HEL-ST-2024-002 C-021 and VAN-HC-2024-004 C-029, but those precedents also provide for interim payment at fair valuation. This clause lacks a provisional payment mechanism. Suggest adding a provision for interim payment to protect the Contractor's cash flow.</w:t>
            </w:r>
          </w:p>
        </w:tc>
        <w:tc>
          <w:p>
            <w:r>
              <w:t xml:space="preserve">HEL-ST-2024-002:rc-0</w:t>
            </w:r>
          </w:p>
        </w:tc>
      </w:tr>
      <w:tr>
        <w:tc>
          <w:p>
            <w:r>
              <w:t xml:space="preserve">SP-10</w:t>
            </w:r>
          </w:p>
        </w:tc>
        <w:tc>
          <w:p>
            <w:r>
              <w:t xml:space="preserve">__Sub-Clause 13.7 is deleted in its entirety.__ The Contract Price shall not be adjusted for rises or falls in the cost of labour, Goods or any other input, however arising.</w:t>
            </w:r>
          </w:p>
        </w:tc>
        <w:tc>
          <w:p>
            <w:r>
              <w:t xml:space="preserve">Accepted</w:t>
            </w:r>
          </w:p>
        </w:tc>
        <w:tc>
          <w:p>
            <w:r>
              <w:t xml:space="preserve">The deletion of price adjustment provisions and statement that no fluctuations shall be allowed is consistent with the fixed lump-sum pricing used in the majority of database contracts (HEL-OB-2023-001 C-004, ESP-RES-2024-003 C-009, TAM-LOG-2025-005 C-005). While Contract LON-RES-2021-009 had a limited fluctuations Clause C-007, most projects accepted full fixed-price risk. This clause is within acceptable market practice.</w:t>
            </w:r>
          </w:p>
        </w:tc>
        <w:tc>
          <w:p>
            <w:r>
              <w:t xml:space="preserve">HEL-OB-2023-001:rc-0</w:t>
            </w:r>
          </w:p>
        </w:tc>
      </w:tr>
      <w:tr>
        <w:tc>
          <w:p>
            <w:r>
              <w:t xml:space="preserve">SP-11</w:t>
            </w:r>
          </w:p>
        </w:tc>
        <w:tc>
          <w:p>
            <w:r>
              <w:t xml:space="preserve">__Sub-Clause 14.2 is deleted in its entirety, including Sub-Clauses 14.2.1 to 14.2.3.__ No advance payment shall be made.</w:t>
            </w:r>
          </w:p>
        </w:tc>
        <w:tc>
          <w:p>
            <w:r>
              <w:t xml:space="preserve">Accepted</w:t>
            </w:r>
          </w:p>
        </w:tc>
        <w:tc>
          <w:p>
            <w:r>
              <w:t xml:space="preserve">This clause directly matches HEL-OB-2023-001 C-008 which states 'No advance payment shall be made under this Contract.' Although several other database contracts (e.g., HEL-ST-2024-002 C-008, TAM-LOG-2025-005 C-009) provide advance payments of 5-10%, the no-advance-payment option is an accepted and precedented commercial term. The contractor presumably priced the project accordingly.</w:t>
            </w:r>
          </w:p>
        </w:tc>
        <w:tc>
          <w:p>
            <w:r>
              <w:t xml:space="preserve">HEL-OB-2023-001:rc-0</w:t>
            </w:r>
          </w:p>
        </w:tc>
      </w:tr>
      <w:tr>
        <w:tc>
          <w:p>
            <w:r>
              <w:t xml:space="preserve">SP-12</w:t>
            </w:r>
          </w:p>
        </w:tc>
        <w:tc>
          <w:p>
            <w:r>
              <w:t xml:space="preserve">The following is added: "No sum shall be treated as certified, approved, agreed or admitted by reason of the Engineer's failure to issue an Interim Payment Certificate within the period stated in Part A, or by reason of the Employer's failure to respond to any Statement."</w:t>
            </w:r>
          </w:p>
        </w:tc>
        <w:tc>
          <w:p>
            <w:r>
              <w:t xml:space="preserve">Rejected</w:t>
            </w:r>
          </w:p>
        </w:tc>
        <w:tc>
          <w:p>
            <w:r>
              <w:t xml:space="preserve">This clause reverses the deemed certification provisions that appear in every other database contract. HEL-ST-2024-002 C-009, ESP-RES-2024-003 C-013, and VAN-HC-2024-004 C-013 all state that if the Engineer fails to certify within the stipulated period, the application is deemed certified at the submitted value. Deleting this protection is a material deviation that exposes the Contractor to indefinite payment delays. The database consistently includes deemed certification to ensure cash flow certainty.</w:t>
            </w:r>
          </w:p>
        </w:tc>
        <w:tc>
          <w:p>
            <w:r>
              <w:t xml:space="preserve">HEL-ST-2024-002:rc-0</w:t>
            </w:r>
          </w:p>
        </w:tc>
      </w:tr>
      <w:tr>
        <w:tc>
          <w:p>
            <w:r>
              <w:t xml:space="preserve">SP-13</w:t>
            </w:r>
          </w:p>
        </w:tc>
        <w:tc>
          <w:p>
            <w:r>
              <w:t xml:space="preserve">Sub-Clause 14.9 is deleted and replaced by the following: "The whole of the Retention Money shall be retained by the Employer until the expiry of the last Defects Notification Period for all Sections and the issue of the Performance Certificate, whereupon it shall be certified for payment. No part of the Retention Money shall be released on the issue of any Taking-Over Certificate, and the Contractor shall have no right to substitute a bond or guarantee for any part of it."</w:t>
            </w:r>
          </w:p>
        </w:tc>
        <w:tc>
          <w:p>
            <w:r>
              <w:t xml:space="preserve">Rejected</w:t>
            </w:r>
          </w:p>
        </w:tc>
        <w:tc>
          <w:p>
            <w:r>
              <w:t xml:space="preserve">This clause is significantly more onerous than any retention provision in the database. Precedents (HEL-ST-2024-002 C-010, ESP-RES-2024-003 C-014, VAN-HC-2024-004 C-014) all allow: (a) reduction of retention at Taking-Over / Practical Completion to 2.5%, and (b) substitution of cash retention with a retention bond. This clause prohibits both. The database shows the industry norm is to reduce retention at completion and allow bond substitution. Holding full 5% retention until the end of the DLP (potentially 5+ years) imposes disproportionate cash flow burden.</w:t>
            </w:r>
          </w:p>
        </w:tc>
        <w:tc>
          <w:p>
            <w:r>
              <w:t xml:space="preserve">HEL-ST-2024-002:rc-0</w:t>
            </w:r>
          </w:p>
        </w:tc>
      </w:tr>
      <w:tr>
        <w:tc>
          <w:p>
            <w:r>
              <w:t xml:space="preserve">SP-14</w:t>
            </w:r>
          </w:p>
        </w:tc>
        <w:tc>
          <w:p>
            <w:r>
              <w:t xml:space="preserve">The list of events in Sub-Clause 18.1 is deleted and replaced by the following, which is exhaustive: "(a) war, hostilities, invasion or act of foreign enemies; (b) rebellion, terrorism, revolution, insurrection, or civil war; (c) riot or commotion by persons other than the Contractor's Personnel; (d) munitions of war, explosive materials or ionising radiation, except as may be attributable to the Contractor's use of the same.  For the avoidance of doubt, no weather condition however severe, no epidemic or pandemic, no act, omission, delay or requirement of any public authority, and no shortage or unavailability of labour, Goods, energy or transport shall constitute an Exceptional Event."</w:t>
            </w:r>
          </w:p>
        </w:tc>
        <w:tc>
          <w:p>
            <w:r>
              <w:t xml:space="preserve">Rejected</w:t>
            </w:r>
          </w:p>
        </w:tc>
        <w:tc>
          <w:p>
            <w:r>
              <w:t xml:space="preserve">The database includes broad force majeure definitions that cover pandemics, epidemics, adverse weather (1-in-25-year), government actions, and supply disruptions (e.g., TAM-LOG-2025-005 C-037, BER-MAR-2023-007 C-038, LON-RES-2021-009 C-034). This clause excludes all of those and limits FM to only armed conflict and extreme civil unrest. Such a narrow definition is unprecedented in the database and would leave the Contractor without relief for foreseeable external events like pandemics or material shortages. This is a material deviation.</w:t>
            </w:r>
          </w:p>
        </w:tc>
        <w:tc>
          <w:p>
            <w:r>
              <w:t xml:space="preserve">TAM-LOG-2025-005:rc-0</w:t>
            </w:r>
          </w:p>
        </w:tc>
      </w:tr>
      <w:tr>
        <w:tc>
          <w:p>
            <w:r>
              <w:t xml:space="preserve">SP-15</w:t>
            </w:r>
          </w:p>
        </w:tc>
        <w:tc>
          <w:p>
            <w:r>
              <w:t xml:space="preserve">The period of 28 days in Sub-Clause 20.2.1 is deleted and replaced by __14 days__. The following is added: "Compliance with the 14-day period is a condition precedent to any entitlement. If the Contractor fails to give a Notice of Claim within that period, the Claim shall be time-barred absolutely, the Contractor shall have no entitlement in respect of it, and neither the Engineer nor any arbitral tribunal shall have any power to waive, extend or excuse non-compliance in any circumstances. The second and third paragraphs of Sub-Clause 20.2.2 shall not apply."</w:t>
            </w:r>
          </w:p>
        </w:tc>
        <w:tc>
          <w:p>
            <w:r>
              <w:t xml:space="preserve">Rejected</w:t>
            </w:r>
          </w:p>
        </w:tc>
        <w:tc>
          <w:p>
            <w:r>
              <w:t xml:space="preserve">The database provides notice periods of 14-28 days for initial EOT claims and often includes a second stage for full particulars (e.g., HEL-ST-2024-002 C-017 allows 14 days for Stage 1 and 42 days for Stage 2, with discretion for late notice if records support the claim). This clause shortens the period to 14 days, makes it an absolute time bar with no discretion, and removes any saving provisions. Such a rigid time bar is considered unfair under many civil law systems (including Finland) and has no precedent in the database. The risk of losing entitlement due to administrative delay is too high.</w:t>
            </w:r>
          </w:p>
        </w:tc>
        <w:tc>
          <w:p>
            <w:r>
              <w:t xml:space="preserve">HEL-ST-2024-002:rc-0</w:t>
            </w:r>
          </w:p>
        </w:tc>
      </w:tr>
      <w:tr>
        <w:tc>
          <w:p>
            <w:r>
              <w:t xml:space="preserve">SP-16</w:t>
            </w:r>
          </w:p>
        </w:tc>
        <w:tc>
          <w:p>
            <w:r>
              <w:t xml:space="preserve">__Sub-Clauses 21.1, 21.2, 21.3 and 21.4 are deleted in their entirety.__ No Dispute Avoidance/Adjudication Board shall be appointed.</w:t>
            </w:r>
          </w:p>
        </w:tc>
        <w:tc>
          <w:p>
            <w:r>
              <w:t xml:space="preserve">Accepted</w:t>
            </w:r>
          </w:p>
        </w:tc>
        <w:tc>
          <w:p>
            <w:r>
              <w:t xml:space="preserve">No contract in the database provides for a Dispute Adjudication Board. All contracts (Finnish and other jurisdictions) rely on direct escalation to arbitration (FCC, NCC) or court litigation. Deleting the DAAB provisions is consistent with all precedent contracts. The standard dispute resolution path remains available (negotiation → arbitration as per other clauses).</w:t>
            </w:r>
          </w:p>
        </w:tc>
        <w:tc>
          <w:p>
            <w:r>
              <w:t xml:space="preserve">HEL-OB-2023-001:rc-0</w:t>
            </w:r>
          </w:p>
        </w:tc>
      </w:tr>
      <w:tr>
        <w:tc>
          <w:p>
            <w:r>
              <w:t xml:space="preserve">SP-17</w:t>
            </w:r>
          </w:p>
        </w:tc>
        <w:tc>
          <w:p>
            <w:r>
              <w:t xml:space="preserve">Sub-Clause 21.6 is deleted and replaced by the following: "Any dispute arising out of or in connection with the Contract shall be finally settled by arbitration under the Rules of the London Court of International Arbitration. The seat of the arbitration shall be London, England. The language of the arbitration shall be English. The number of arbitrators shall be three."</w:t>
            </w:r>
          </w:p>
        </w:tc>
        <w:tc>
          <w:p>
            <w:r>
              <w:t xml:space="preserve">Requires Review (Inferred)</w:t>
            </w:r>
          </w:p>
        </w:tc>
        <w:tc>
          <w:p>
            <w:r>
              <w:t xml:space="preserve">The clause substitutes the standard Finnish court jurisdiction or FAI Finland arbitration for LCIA London. No database contract contains an LCIA arbitration clause with an English seat — all comparable Finnish contracts use Finnish courts or FAI. For a project governed by Finnish law with Finnish parties, LCIA London adds significant forum cost and removes the dispute from the natural legal environment. This is a material deviation requiring commercial sign-off.</w:t>
            </w:r>
          </w:p>
        </w:tc>
        <w:tc>
          <w:p>
            <w:r>
              <w:t xml:space="preserve"/>
            </w:r>
          </w:p>
        </w:tc>
      </w:tr>
      <w:tr>
        <w:tc>
          <w:p>
            <w:r>
              <w:t xml:space="preserve"/>
            </w:r>
          </w:p>
        </w:tc>
        <w:tc>
          <w:p>
            <w:r>
              <w:t xml:space="preserve">The following provisions are administrative and reflect the Site and statutory context. They are not intended to alter the commercial balance of the Contract.</w:t>
            </w:r>
          </w:p>
        </w:tc>
        <w:tc>
          <w:p>
            <w:r>
              <w:t xml:space="preserve">Accepted</w:t>
            </w:r>
          </w:p>
        </w:tc>
        <w:tc>
          <w:p>
            <w:r>
              <w:t xml:space="preserve">Non-contractual item — no obligations to assess. The text is a preamble stating that the subsequent provisions are administrative and not intended to alter the commercial balance.</w:t>
            </w:r>
          </w:p>
        </w:tc>
        <w:tc>
          <w:p>
            <w:r>
              <w:t xml:space="preserve"/>
            </w:r>
          </w:p>
        </w:tc>
      </w:tr>
      <w:tr>
        <w:tc>
          <w:p>
            <w:r>
              <w:t xml:space="preserve">SP-18</w:t>
            </w:r>
          </w:p>
        </w:tc>
        <w:tc>
          <w:p>
            <w:r>
              <w:t xml:space="preserve">Working hours on Site shall be 06:00 to 22:00 Monday to Friday. Deliveries are restricted to those hours. Blasting is permitted only between 08:00 and 18:00 Monday to Friday. Generator testing is permitted only between 09:00 and 16:00 Monday to Friday. These restrictions reflect the Building Permit conditions.</w:t>
            </w:r>
          </w:p>
        </w:tc>
        <w:tc>
          <w:p>
            <w:r>
              <w:t xml:space="preserve">Accepted</w:t>
            </w:r>
          </w:p>
        </w:tc>
        <w:tc>
          <w:p>
            <w:r>
              <w:t xml:space="preserve">Working hour restrictions are a standard site‑specific requirement. Database Contract 3 (ESP‑RES) contains a similar clause (C‑035) limiting high‑vibration works to weekday 07:00‑18:00 and Saturday 08:00‑14:00. The new clause permits a longer general working day (06:00‑22:00) but imposes specific restrictions on blasting and generator testing, which is consistent with common building permit conditions. No commercial values are at issue; the clause is accepted as standard.</w:t>
            </w:r>
          </w:p>
        </w:tc>
        <w:tc>
          <w:p>
            <w:r>
              <w:t xml:space="preserve">ESP-RES-2024-003:rc-0_C-035</w:t>
            </w:r>
          </w:p>
        </w:tc>
      </w:tr>
      <w:tr>
        <w:tc>
          <w:p>
            <w:r>
              <w:t xml:space="preserve">SP-19</w:t>
            </w:r>
          </w:p>
        </w:tc>
        <w:tc>
          <w:p>
            <w:r>
              <w:t xml:space="preserve">The Contractor shall implement and maintain the site security measures described in the Employer's Requirements from the Commencement Date, including access logging for all personnel and a background-check regime for personnel requiring access to any data hall after first energisation.</w:t>
            </w:r>
          </w:p>
        </w:tc>
        <w:tc>
          <w:p>
            <w:r>
              <w:t xml:space="preserve">Requires Review (Inferred)</w:t>
            </w:r>
          </w:p>
        </w:tc>
        <w:tc>
          <w:p>
            <w:r>
              <w:t xml:space="preserve">Site security measures and background‑check requirements for data hall access are not addressed by any clause in the master database. The database contains no data centre security or personnel vetting provisions. This clause introduces new obligations that require assessment against project‑specific security protocols.</w:t>
            </w:r>
          </w:p>
        </w:tc>
        <w:tc>
          <w:p>
            <w:r>
              <w:t xml:space="preserve"/>
            </w:r>
          </w:p>
        </w:tc>
      </w:tr>
      <w:tr>
        <w:tc>
          <w:p>
            <w:r>
              <w:t xml:space="preserve">SP-20</w:t>
            </w:r>
          </w:p>
        </w:tc>
        <w:tc>
          <w:p>
            <w:r>
              <w:t xml:space="preserve">The review periods for Contractor's Documents shall be those stated in the Employer's Requirements (S1 14 days, S2 21 days, S3 14 days). Review by the Engineer shall not relieve the Contractor of its design responsibility.</w:t>
            </w:r>
          </w:p>
        </w:tc>
        <w:tc>
          <w:p>
            <w:r>
              <w:t xml:space="preserve">Accepted</w:t>
            </w:r>
          </w:p>
        </w:tc>
        <w:tc>
          <w:p>
            <w:r>
              <w:t xml:space="preserve">The clause establishes tiered review periods for Contractor’s Documents (S1=14 days, S2=21 days, S3=14 days), which mirrors the structure of Contract 4 (VAN‑HC) C‑008 that sets a 14‑day standard period and a 21‑day period for healthcare‑critical submissions. The notification that the Engineer’s review does not relieve the Contractor of design responsibility is also consistent with database precedent. No commercial values are in play; the clause is accepted.</w:t>
            </w:r>
          </w:p>
        </w:tc>
        <w:tc>
          <w:p>
            <w:r>
              <w:t xml:space="preserve">VAN-HC-2024-004:rc-0_C-008</w:t>
            </w:r>
          </w:p>
        </w:tc>
      </w:tr>
      <w:tr>
        <w:tc>
          <w:p>
            <w:r>
              <w:t xml:space="preserve">SP-21</w:t>
            </w:r>
          </w:p>
        </w:tc>
        <w:tc>
          <w:p>
            <w:r>
              <w:t xml:space="preserve">Progress reports shall be submitted monthly and shall include, in addition to the requirements of Sub-Clause 4.20, the commissioning status of each Section by commissioning level (L1 to L5) and the status of every long-lead equipment order.</w:t>
            </w:r>
          </w:p>
        </w:tc>
        <w:tc>
          <w:p>
            <w:r>
              <w:t xml:space="preserve">Requires Review (Inferred)</w:t>
            </w:r>
          </w:p>
        </w:tc>
        <w:tc>
          <w:p>
            <w:r>
              <w:t xml:space="preserve">The requirement to include commissioning status by level (L1–L5) and the status of every long‑lead equipment order in monthly progress reports is not reflected in any database clause. While progress reporting is standard (e.g., Contract 1 C‑007, Contract 2 C‑009), the specificity regarding commissioning levels and equipment tracking is novel and requires review.</w:t>
            </w:r>
          </w:p>
        </w:tc>
        <w:tc>
          <w:p>
            <w:r>
              <w:t xml:space="preserve"/>
            </w:r>
          </w:p>
        </w:tc>
      </w:tr>
      <w:tr>
        <w:tc>
          <w:p>
            <w:r>
              <w:t xml:space="preserve">SP-22</w:t>
            </w:r>
          </w:p>
        </w:tc>
        <w:tc>
          <w:p>
            <w:r>
              <w:t xml:space="preserve">Taking Over of each Section requires, in addition to the requirements of the General Conditions, the occupancy inspection (käyttöönottotarkastus) for that Section and the Tenant's technical acceptance under the Anchor Tenant Technical Annex.</w:t>
            </w:r>
          </w:p>
        </w:tc>
        <w:tc>
          <w:p>
            <w:r>
              <w:t xml:space="preserve">Accepted</w:t>
            </w:r>
          </w:p>
        </w:tc>
        <w:tc>
          <w:p>
            <w:r>
              <w:t xml:space="preserve">The addition of occupancy inspection (käyttöönottotarkastus) and Tenant’s technical acceptance to the taking‑over conditions is consistent with Finnish practice found in several database contracts. Contract 2 (HEL‑ST) C‑019 requires similar deliverables (snagging schedule, BIM as‑built, commissioning records) and reflects the same principle of additional statutory and tenant acceptance steps. The clause does not alter commercial values and is accepted as appropriate for the Finnish context.</w:t>
            </w:r>
          </w:p>
        </w:tc>
        <w:tc>
          <w:p>
            <w:r>
              <w:t xml:space="preserve">HEL-ST-2024-002:rc-0_C-019</w:t>
            </w:r>
          </w:p>
        </w:tc>
      </w:tr>
    </w:tbl>
    <w:p/>
    <w:p>
      <w:pPr>
        <w:pStyle w:val="Heading1"/>
      </w:pPr>
      <w:r>
        <w:rPr>
          <w:b/>
          <w:bCs/>
        </w:rPr>
        <w:t xml:space="preserve">Legal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p>
            <w:r>
              <w:t xml:space="preserve">compliance_status</w:t>
            </w:r>
          </w:p>
        </w:tc>
        <w:tc>
          <w:p>
            <w:r>
              <w:t xml:space="preserve">legal_basis</w:t>
            </w:r>
          </w:p>
        </w:tc>
        <w:tc>
          <w:p>
            <w:r>
              <w:t xml:space="preserve">relevant_regulation</w:t>
            </w:r>
          </w:p>
        </w:tc>
        <w:tc>
          <w:p>
            <w:r>
              <w:t xml:space="preserve">recommendation</w:t>
            </w:r>
          </w:p>
        </w:tc>
        <w:tc>
          <w:p>
            <w:r>
              <w:t xml:space="preserve">clause_ref</w:t>
            </w:r>
          </w:p>
        </w:tc>
        <w:tc>
          <w:p>
            <w:r>
              <w:t xml:space="preserve">search_rounds_used</w:t>
            </w:r>
          </w:p>
        </w:tc>
      </w:tr>
      <w:tr>
        <w:tc>
          <w:p>
            <w:r>
              <w:t xml:space="preserve">Potentially Non-Compliant</w:t>
            </w:r>
          </w:p>
        </w:tc>
        <w:tc>
          <w:p>
            <w:r>
              <w:t xml:space="preserve">Under Finnish law, liquidated damages clauses are generally valid but subject to judicial adjustment under Section 36 of the Contracts Act (Oikeustoimilaki, 228/1929) if the amount is manifestly unreâ€¦</w:t>
            </w:r>
          </w:p>
        </w:tc>
        <w:tc>
          <w:p>
            <w:r>
              <w:t xml:space="preserve">Contracts Act (Oikeustoimilaki, 228/1929), Section 36</w:t>
            </w:r>
          </w:p>
        </w:tc>
        <w:tc>
          <w:p>
            <w:r>
              <w:t xml:space="preserve">Revise the clause to (a) reduce the maximum delay damages to a reasonable percentage (e.g., 10-15% of the contract amount) or align with YSE 1998 recommendations; (b) remove or modify the waiver of câ€¦</w:t>
            </w:r>
          </w:p>
        </w:tc>
        <w:tc>
          <w:p>
            <w:r>
              <w:t xml:space="preserve">Delay Damages (20% cap and waiver of quantum challenge)</w:t>
            </w:r>
          </w:p>
        </w:tc>
        <w:tc>
          <w:p>
            <w:r>
              <w:t xml:space="preserve">1</w:t>
            </w:r>
          </w:p>
        </w:tc>
      </w:tr>
      <w:tr>
        <w:tc>
          <w:p>
            <w:r>
              <w:t xml:space="preserve">Potentially Non-Compliant</w:t>
            </w:r>
          </w:p>
        </w:tc>
        <w:tc>
          <w:p>
            <w:r>
              <w:t xml:space="preserve">Under Finnish law, contractual time-bar clauses are generally valid but subject to adjustment under Section 36 of the Contracts Act (Oikeustoimilaki 228/1929) if they lead to an unfair outcome. A 14-â€¦</w:t>
            </w:r>
          </w:p>
        </w:tc>
        <w:tc>
          <w:p>
            <w:r>
              <w:t xml:space="preserve">Contracts Act (Oikeustoimilaki 228/1929), Section 36</w:t>
            </w:r>
          </w:p>
        </w:tc>
        <w:tc>
          <w:p>
            <w:r>
              <w:t xml:space="preserve">Modify the clause to include exceptions for cases where the claimant could not reasonably give notice within 14 days, or allow for extension by mutual agreement. Consider aligning with the widely accâ€¦</w:t>
            </w:r>
          </w:p>
        </w:tc>
        <w:tc>
          <w:p>
            <w:r>
              <w:t xml:space="preserve">Sub-Clause 20.2.1 (Notice of Claim – 14-day condition precedent)</w:t>
            </w:r>
          </w:p>
        </w:tc>
        <w:tc>
          <w:p>
            <w:r>
              <w:t xml:space="preserve">1</w:t>
            </w:r>
          </w:p>
        </w:tc>
      </w:tr>
      <w:tr>
        <w:tc>
          <w:p>
            <w:r>
              <w:t xml:space="preserve">Potentially Non-Compliant</w:t>
            </w:r>
          </w:p>
        </w:tc>
        <w:tc>
          <w:p>
            <w:r>
              <w:t xml:space="preserve">Under Finnish law, the Act on Late Payment Interest (Viivästyskorkolaki, 633/1982) implements EU Directive 2011/7/EU on combating late payment in commercial transactions. The directive and Finnish laâ€¦</w:t>
            </w:r>
          </w:p>
        </w:tc>
        <w:tc>
          <w:p>
            <w:r>
              <w:t xml:space="preserve">Viivästyskorkolaki (633/1982), 4 a § and 4 §; Laki varallisuusoikeudellisista oikeustoimista (228/1929), 36 §</w:t>
            </w:r>
          </w:p>
        </w:tc>
        <w:tc>
          <w:p>
            <w:r>
              <w:t xml:space="preserve">Renegotiate the payment period to not exceed 60 days from the date of the statement (or at least from the IPC), and increase the late payment interest to the statutory reference rate (ECB main refinaâ€¦</w:t>
            </w:r>
          </w:p>
        </w:tc>
        <w:tc>
          <w:p>
            <w:r>
              <w:t xml:space="preserve">Period for payment by the Employer (75 days after IPC) and Engineer certification period (42 days)</w:t>
            </w:r>
          </w:p>
        </w:tc>
        <w:tc>
          <w:p>
            <w:r>
              <w:t xml:space="preserve">1</w:t>
            </w:r>
          </w:p>
        </w:tc>
      </w:tr>
      <w:tr>
        <w:tc>
          <w:p>
            <w:r>
              <w:t xml:space="preserve">Potentially Non-Compliant</w:t>
            </w:r>
          </w:p>
        </w:tc>
        <w:tc>
          <w:p>
            <w:r>
              <w:t xml:space="preserve">In Finland, construction contracts are commonly governed by the General Conditions for Construction Contracts (YSE 1998), which provide for retention typically released upon final acceptance (loppukaâ€¦</w:t>
            </w:r>
          </w:p>
        </w:tc>
        <w:tc>
          <w:p>
            <w:r>
              <w:t xml:space="preserve">Laki varallisuusoikeudellisista oikeustoimista (228/1929), 33 §</w:t>
            </w:r>
          </w:p>
        </w:tc>
        <w:tc>
          <w:p>
            <w:r>
              <w:t xml:space="preserve">Revise the clause to provide for partial release of retention upon issuance of the Taking-Over Certificate (e.g., typically 50% of the retention amount), with the balance held only until the expiry oâ€¦</w:t>
            </w:r>
          </w:p>
        </w:tc>
        <w:tc>
          <w:p>
            <w:r>
              <w:t xml:space="preserve">Release of Retention Money (Sub-Clause 14.9 replacement)</w:t>
            </w:r>
          </w:p>
        </w:tc>
        <w:tc>
          <w:p>
            <w:r>
              <w:t xml:space="preserve">1</w:t>
            </w:r>
          </w:p>
        </w:tc>
      </w:tr>
      <w:tr>
        <w:tc>
          <w:p>
            <w:r>
              <w:t xml:space="preserve">Potentially Non-Compliant</w:t>
            </w:r>
          </w:p>
        </w:tc>
        <w:tc>
          <w:p>
            <w:r>
              <w:t xml:space="preserve">Under Finnish law, contract clauses that exclude or limit a party's liability for errors in employer-provided documents may be subject to adjustment under Section 36 of the Finnish Contracts Act (Lakâ€¦</w:t>
            </w:r>
          </w:p>
        </w:tc>
        <w:tc>
          <w:p>
            <w:r>
              <w:t xml:space="preserve">Finnish Contracts Act (228/1929), Section 36</w:t>
            </w:r>
          </w:p>
        </w:tc>
        <w:tc>
          <w:p>
            <w:r>
              <w:t xml:space="preserve">The clause should be reviewed for potential unconscionability. Consider modifying it to: (i) expressly limit the contractor's waiver to errors that were reasonably discoverable upon a diligent examinâ€¦</w:t>
            </w:r>
          </w:p>
        </w:tc>
        <w:tc>
          <w:p>
            <w:r>
              <w:t xml:space="preserve">Deletion of Sub-Clause 1.9 (Errors in Employer's Requirements)</w:t>
            </w:r>
          </w:p>
        </w:tc>
        <w:tc>
          <w:p>
            <w:r>
              <w:t xml:space="preserve">1</w:t>
            </w:r>
          </w:p>
        </w:tc>
      </w:tr>
      <w:tr>
        <w:tc>
          <w:p>
            <w:r>
              <w:t xml:space="preserve">Potentially Non-Compliant</w:t>
            </w:r>
          </w:p>
        </w:tc>
        <w:tc>
          <w:p>
            <w:r>
              <w:t xml:space="preserve">Under Finnish construction law, the standard general conditions YSE 1998 (Clause 7) allocate risk for unforeseeable ground conditions to the employer, entitling the contractor to additional compensatâ€¦</w:t>
            </w:r>
          </w:p>
        </w:tc>
        <w:tc>
          <w:p>
            <w:r>
              <w:t xml:space="preserve">YSE 1998 (General Conditions for Building Contracts), Clause 7; Oikeustoimilaki (228/1929), Section 36</w:t>
            </w:r>
          </w:p>
        </w:tc>
        <w:tc>
          <w:p>
            <w:r>
              <w:t xml:space="preserve">Revise the clause to align with YSE 1998 by distinguishing between foreseeable and unforeseeable ground conditions. The contractor should bear risk for conditions that could reasonably be anticipatedâ€¦</w:t>
            </w:r>
          </w:p>
        </w:tc>
        <w:tc>
          <w:p>
            <w:r>
              <w:t xml:space="preserve">Deletion of Sub-Clause 4.12 (Unforeseeable physical conditions)</w:t>
            </w:r>
          </w:p>
        </w:tc>
        <w:tc>
          <w:p>
            <w:r>
              <w:t xml:space="preserve">1</w:t>
            </w:r>
          </w:p>
        </w:tc>
      </w:tr>
      <w:tr>
        <w:tc>
          <w:p>
            <w:r>
              <w:t xml:space="preserve">Potentially Non-Compliant</w:t>
            </w:r>
          </w:p>
        </w:tc>
        <w:tc>
          <w:p>
            <w:r>
              <w:t xml:space="preserve">Under Finnish law, concurrent delay apportionment is not explicitly regulated by statute. General contract law principles apply, particularly the Finnish Contracts Act (Laki varallisuusoikeudellisistâ€¦</w:t>
            </w:r>
          </w:p>
        </w:tc>
        <w:tc>
          <w:p>
            <w:r>
              <w:t xml:space="preserve"/>
            </w:r>
          </w:p>
        </w:tc>
        <w:tc>
          <w:p>
            <w:r>
              <w:t xml:space="preserve">Consider revising the clause to adopt a more balanced approach, such as apportioning delay based on causation or dominant cause, or explicitly allowing an extension where the employer-caused delay isâ€¦</w:t>
            </w:r>
          </w:p>
        </w:tc>
        <w:tc>
          <w:p>
            <w:r>
              <w:t xml:space="preserve">Sub-Clause 8.5 addition (Concurrent delay)</w:t>
            </w:r>
          </w:p>
        </w:tc>
        <w:tc>
          <w:p>
            <w:r>
              <w:t xml:space="preserve">1</w:t>
            </w:r>
          </w:p>
        </w:tc>
      </w:tr>
      <w:tr>
        <w:tc>
          <w:p>
            <w:r>
              <w:t xml:space="preserve">Requires Legal Review</w:t>
            </w:r>
          </w:p>
        </w:tc>
        <w:tc>
          <w:p>
            <w:r>
              <w:t xml:space="preserve">Under Finnish law, force majeure is primarily governed by contractual agreements. However, the Contracts Act (Laki varallisuusoikeudellisista oikeustoimista, 228/1929), Section 36, allows courts to aâ€¦</w:t>
            </w:r>
          </w:p>
        </w:tc>
        <w:tc>
          <w:p>
            <w:r>
              <w:t xml:space="preserve">Laki varallisuusoikeudellisista oikeustoimista (228/1929), Section 36</w:t>
            </w:r>
          </w:p>
        </w:tc>
        <w:tc>
          <w:p>
            <w:r>
              <w:t xml:space="preserve">Engage a Finnish legal professional to review the clause in the context of the entire contract and applicable trade practices. Consider amending the clause to allow for events that are truly unforeseâ€¦</w:t>
            </w:r>
          </w:p>
        </w:tc>
        <w:tc>
          <w:p>
            <w:r>
              <w:t xml:space="preserve">Force majeure (Sub-Clause 18.1 replacement)</w:t>
            </w:r>
          </w:p>
        </w:tc>
        <w:tc>
          <w:p>
            <w:r>
              <w:t xml:space="preserve">1</w:t>
            </w:r>
          </w:p>
        </w:tc>
      </w:tr>
      <w:tr>
        <w:tc>
          <w:p>
            <w:r>
              <w:t xml:space="preserve">Potentially Non-Compliant</w:t>
            </w:r>
          </w:p>
        </w:tc>
        <w:tc>
          <w:p>
            <w:r>
              <w:t xml:space="preserve">Under Finnish law, the Late Payment Interest Act (Viivästyskorkolaki 8.5.1981/389) implements EU Directive 2011/7/EU. For commercial transactions (including construction), the statutory late payment â€¦</w:t>
            </w:r>
          </w:p>
        </w:tc>
        <w:tc>
          <w:p>
            <w:r>
              <w:t xml:space="preserve">Viivästyskorkolaki (Late Payment Interest Act, 389/1981), Section 4a</w:t>
            </w:r>
          </w:p>
        </w:tc>
        <w:tc>
          <w:p>
            <w:r>
              <w:t xml:space="preserve">Amend the clause to specify an interest rate of at least the ECB main refinancing rate plus 7 percentage points, or expressly state that the statutory late payment interest under the Finnish Late Payâ€¦</w:t>
            </w:r>
          </w:p>
        </w:tc>
        <w:tc>
          <w:p>
            <w:r>
              <w:t xml:space="preserve">Interest on delayed payment (2% above ECB main refinancing rate)</w:t>
            </w:r>
          </w:p>
        </w:tc>
        <w:tc>
          <w:p>
            <w:r>
              <w:t xml:space="preserve">1</w:t>
            </w:r>
          </w:p>
        </w:tc>
      </w:tr>
      <w:tr>
        <w:tc>
          <w:p>
            <w:r>
              <w:t xml:space="preserve">Compliant</w:t>
            </w:r>
          </w:p>
        </w:tc>
        <w:tc>
          <w:p>
            <w:r>
              <w:t xml:space="preserve">Under Finnish contract law, parties are generally free to agree on contractual terms, including absolute warranties of result. Such a clause is permissible and does not conflict with mandatory provisâ€¦</w:t>
            </w:r>
          </w:p>
        </w:tc>
        <w:tc>
          <w:p>
            <w:r>
              <w:t xml:space="preserve"/>
            </w:r>
          </w:p>
        </w:tc>
        <w:tc>
          <w:p>
            <w:r>
              <w:t xml:space="preserve">The clause aligns with the principle of freedom of contract. To mitigate risks, ensure that the performance guarantees are clearly defined, measurable, and realistic. Consider adding a force majeure â€¦</w:t>
            </w:r>
          </w:p>
        </w:tc>
        <w:tc>
          <w:p>
            <w:r>
              <w:t xml:space="preserve">Sub-Clause 5.1 addition (Absolute performance warranty)</w:t>
            </w:r>
          </w:p>
        </w:tc>
        <w:tc>
          <w:p>
            <w:r>
              <w:t xml:space="preserve">1</w:t>
            </w:r>
          </w:p>
        </w:tc>
      </w:tr>
    </w:tbl>
    <w:p/>
    <w:p>
      <w:pPr>
        <w:pStyle w:val="Heading1"/>
      </w:pPr>
      <w:r>
        <w:rPr>
          <w:b/>
          <w:bCs/>
        </w:rPr>
        <w:t xml:space="preserve">Grounding Gate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Verdict</w:t>
            </w:r>
          </w:p>
        </w:tc>
        <w:tc>
          <w:p>
            <w:r>
              <w:t xml:space="preserve">Grounded</w:t>
            </w:r>
          </w:p>
        </w:tc>
        <w:tc>
          <w:p>
            <w:r>
              <w:t xml:space="preserve">Flagged</w:t>
            </w:r>
          </w:p>
        </w:tc>
        <w:tc>
          <w:p>
            <w:r>
              <w:t xml:space="preserve">Total</w:t>
            </w:r>
          </w:p>
        </w:tc>
      </w:tr>
      <w:tr>
        <w:tc>
          <w:p>
            <w:r>
              <w:t xml:space="preserve">accept</w:t>
            </w:r>
          </w:p>
        </w:tc>
        <w:tc>
          <w:p>
            <w:r>
              <w:t xml:space="preserve">48</w:t>
            </w:r>
          </w:p>
        </w:tc>
        <w:tc>
          <w:p>
            <w:r>
              <w:t xml:space="preserve">0</w:t>
            </w:r>
          </w:p>
        </w:tc>
        <w:tc>
          <w:p>
            <w:r>
              <w:t xml:space="preserve">52</w:t>
            </w:r>
          </w:p>
        </w:tc>
      </w:tr>
    </w:tbl>
    <w:p/>
    <w:p>
      <w:pPr>
        <w:pStyle w:val="Heading1"/>
      </w:pPr>
      <w:r>
        <w:rPr>
          <w:b/>
          <w:bCs/>
        </w:rPr>
        <w:t xml:space="preserve">Notes</w:t>
      </w:r>
    </w:p>
    <w:p>
      <w:r>
        <w:t xml:space="preserve">This report was produced from the Rev A Particular Conditions (tender issue) of the FIDIC Yellow Book 2017 contract for the Polaris DC-1 Data Campus, Vantaa, Finland. The analysis was: (1) clause-ingested at the deepest level (52 clause units); (2) analysed against a master database of 12 historical precedent contracts from our Finland portfolio; (3) independently reviewed against a reviewer senior-contracts pass; and (4) checked for Finland-specific legal compliance across 10 regulatory topics. Each deviation cited below references both the sub-clause from the Particular Conditions and the comparable normal position drawn from our historical contracts database.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2026-07-30T20:29:04.457Z</dcterms:created>
  <dcterms:modified xsi:type="dcterms:W3CDTF">2026-07-30T20:29:04.457Z</dcterms:modified>
</cp:coreProperties>
</file>

<file path=docProps/custom.xml><?xml version="1.0" encoding="utf-8"?>
<Properties xmlns="http://schemas.openxmlformats.org/officeDocument/2006/custom-properties" xmlns:vt="http://schemas.openxmlformats.org/officeDocument/2006/docPropsVTypes"/>
</file>