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F2E4C"/>
        </w:rPr>
        <w:t xml:space="preserve">POLARIS DC-1 — REV B PARTICULARS ASSESSMENT</w:t>
      </w:r>
    </w:p>
    <w:p>
      <w:pPr>
        <w:pStyle w:val="Heading1"/>
        <w:pBdr>
          <w:bottom w:val="single" w:color="1F6FB2" w:sz="6"/>
        </w:pBdr>
        <w:spacing w:after="120" w:before="240"/>
      </w:pPr>
      <w:r>
        <w:rPr>
          <w:b/>
          <w:bCs/>
          <w:color w:val="0F2E4C"/>
        </w:rPr>
        <w:t xml:space="preserve">What the Employer Changed, What They Left Alone, and How You Should Respond</w:t>
      </w:r>
    </w:p>
    <w:p>
      <w:pPr>
        <w:spacing w:after="120"/>
      </w:pPr>
      <w:r>
        <w:rPr>
          <w:b/>
          <w:bCs/>
        </w:rPr>
        <w:t xml:space="preserve">Document:</w:t>
      </w:r>
      <w:r>
        <w:t xml:space="preserve"> PDC</w:t>
      </w:r>
      <w:r>
        <w:rPr>
          <w:i/>
          <w:iCs/>
        </w:rPr>
        <w:t xml:space="preserve">PC</w:t>
      </w:r>
      <w:r>
        <w:t xml:space="preserve">001 Rev B (issued 6 February 2026, in response to our letter NB-PDC-014 of 27 January 2026) </w:t>
      </w:r>
      <w:r>
        <w:rPr>
          <w:b/>
          <w:bCs/>
        </w:rPr>
        <w:t xml:space="preserve">Compared against:</w:t>
      </w:r>
      <w:r>
        <w:t xml:space="preserve"> Rev A (analysed 52 clause units against our historical database + Finnish law)</w:t>
      </w:r>
    </w:p>
    <w:p>
      <w:pPr>
        <w:spacing w:after="120"/>
      </w:pPr>
      <w:r>
        <w:t xml:space="preserve">---</w:t>
      </w:r>
    </w:p>
    <w:p>
      <w:pPr>
        <w:pStyle w:val="Heading1"/>
        <w:pBdr>
          <w:bottom w:val="single" w:color="1F6FB2" w:sz="6"/>
        </w:pBdr>
        <w:spacing w:after="120" w:before="240"/>
      </w:pPr>
      <w:r>
        <w:rPr>
          <w:b/>
          <w:bCs/>
          <w:color w:val="0F2E4C"/>
        </w:rPr>
        <w:t xml:space="preserve">1. THE EMPLOYER'S OWN RESPONSE TABLE — WHAT THEY TOLD US</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E4C" w:val="clear"/>
          </w:tcPr>
          <w:p>
            <w:pPr>
              <w:jc w:val="left"/>
            </w:pPr>
            <w:r>
              <w:rPr>
                <w:b/>
                <w:bCs/>
                <w:color w:val="FFFFFF"/>
              </w:rPr>
              <w:t xml:space="preserve">Our Comment (per NB-PDC-014)</w:t>
            </w:r>
          </w:p>
        </w:tc>
        <w:tc>
          <w:tcPr>
            <w:shd w:fill="0F2E4C" w:val="clear"/>
          </w:tcPr>
          <w:p>
            <w:pPr>
              <w:jc w:val="left"/>
            </w:pPr>
            <w:r>
              <w:rPr>
                <w:b/>
                <w:bCs/>
                <w:color w:val="FFFFFF"/>
              </w:rPr>
              <w:t xml:space="preserve">Their Response</w:t>
            </w:r>
          </w:p>
        </w:tc>
        <w:tc>
          <w:tcPr>
            <w:shd w:fill="0F2E4C" w:val="clear"/>
          </w:tcPr>
          <w:p>
            <w:pPr>
              <w:jc w:val="left"/>
            </w:pPr>
            <w:r>
              <w:rPr>
                <w:b/>
                <w:bCs/>
                <w:color w:val="FFFFFF"/>
              </w:rPr>
              <w:t xml:space="preserve">Verdict</w:t>
            </w:r>
          </w:p>
        </w:tc>
      </w:tr>
      <w:tr>
        <w:trPr>
          <w:tblHeader w:val="false"/>
        </w:trPr>
        <w:tc>
          <w:p>
            <w:r>
              <w:t xml:space="preserve">Payment period of 75 days unacceptable</w:t>
            </w:r>
          </w:p>
        </w:tc>
        <w:tc>
          <w:p>
            <w:r>
              <w:t xml:space="preserve">Accepted</w:t>
            </w:r>
          </w:p>
        </w:tc>
        <w:tc>
          <w:p>
            <w:r>
              <w:t xml:space="preserve">Reduced — but see §2 below</w:t>
            </w:r>
          </w:p>
        </w:tc>
      </w:tr>
      <w:tr>
        <w:trPr>
          <w:tblHeader w:val="false"/>
        </w:trPr>
        <w:tc>
          <w:tcPr>
            <w:shd w:fill="F5F5F5" w:val="clear"/>
          </w:tcPr>
          <w:p>
            <w:r>
              <w:t xml:space="preserve">Engineer's 42-day certification excessive</w:t>
            </w:r>
          </w:p>
        </w:tc>
        <w:tc>
          <w:tcPr>
            <w:shd w:fill="F5F5F5" w:val="clear"/>
          </w:tcPr>
          <w:p>
            <w:r>
              <w:t xml:space="preserve">Accepted</w:t>
            </w:r>
          </w:p>
        </w:tc>
        <w:tc>
          <w:tcPr>
            <w:shd w:fill="F5F5F5" w:val="clear"/>
          </w:tcPr>
          <w:p>
            <w:r>
              <w:t xml:space="preserve">Reduced to 28 days</w:t>
            </w:r>
          </w:p>
        </w:tc>
      </w:tr>
      <w:tr>
        <w:trPr>
          <w:tblHeader w:val="false"/>
        </w:trPr>
        <w:tc>
          <w:p>
            <w:r>
              <w:t xml:space="preserve">LD cap of 20% disproportionate</w:t>
            </w:r>
          </w:p>
        </w:tc>
        <w:tc>
          <w:p>
            <w:r>
              <w:t xml:space="preserve">Partially accepted</w:t>
            </w:r>
          </w:p>
        </w:tc>
        <w:tc>
          <w:p>
            <w:r>
              <w:t xml:space="preserve">Reduced to 12%</w:t>
            </w:r>
          </w:p>
        </w:tc>
      </w:tr>
      <w:tr>
        <w:trPr>
          <w:tblHeader w:val="false"/>
        </w:trPr>
        <w:tc>
          <w:tcPr>
            <w:shd w:fill="F5F5F5" w:val="clear"/>
          </w:tcPr>
          <w:p>
            <w:r>
              <w:t xml:space="preserve">No advance payment</w:t>
            </w:r>
          </w:p>
        </w:tc>
        <w:tc>
          <w:tcPr>
            <w:shd w:fill="F5F5F5" w:val="clear"/>
          </w:tcPr>
          <w:p>
            <w:r>
              <w:t xml:space="preserve">Partially accepted</w:t>
            </w:r>
          </w:p>
        </w:tc>
        <w:tc>
          <w:tcPr>
            <w:shd w:fill="F5F5F5" w:val="clear"/>
          </w:tcPr>
          <w:p>
            <w:r>
              <w:t xml:space="preserve">5% advance reinstated</w:t>
            </w:r>
          </w:p>
        </w:tc>
      </w:tr>
      <w:tr>
        <w:trPr>
          <w:tblHeader w:val="false"/>
        </w:trPr>
        <w:tc>
          <w:p>
            <w:r>
              <w:t xml:space="preserve">Retention 10%, no release, no bond</w:t>
            </w:r>
          </w:p>
        </w:tc>
        <w:tc>
          <w:p>
            <w:r>
              <w:t xml:space="preserve">Partially accepted</w:t>
            </w:r>
          </w:p>
        </w:tc>
        <w:tc>
          <w:p>
            <w:r>
              <w:t xml:space="preserve">7.5%; bond after S1 TOC; half at S4 TOC</w:t>
            </w:r>
          </w:p>
        </w:tc>
      </w:tr>
      <w:tr>
        <w:trPr>
          <w:tblHeader w:val="false"/>
        </w:trPr>
        <w:tc>
          <w:tcPr>
            <w:shd w:fill="F5F5F5" w:val="clear"/>
          </w:tcPr>
          <w:p>
            <w:r>
              <w:t xml:space="preserve">DNP of 36 months</w:t>
            </w:r>
          </w:p>
        </w:tc>
        <w:tc>
          <w:tcPr>
            <w:shd w:fill="F5F5F5" w:val="clear"/>
          </w:tcPr>
          <w:p>
            <w:r>
              <w:t xml:space="preserve">Accepted</w:t>
            </w:r>
          </w:p>
        </w:tc>
        <w:tc>
          <w:tcPr>
            <w:shd w:fill="F5F5F5" w:val="clear"/>
          </w:tcPr>
          <w:p>
            <w:r>
              <w:t xml:space="preserve">Reduced to 24 months</w:t>
            </w:r>
          </w:p>
        </w:tc>
      </w:tr>
      <w:tr>
        <w:trPr>
          <w:tblHeader w:val="false"/>
        </w:trPr>
        <w:tc>
          <w:p>
            <w:r>
              <w:t xml:space="preserve">Deletion of 4.12 (ground risk)</w:t>
            </w:r>
          </w:p>
        </w:tc>
        <w:tc>
          <w:p>
            <w:r>
              <w:t xml:space="preserve">Partially accepted</w:t>
            </w:r>
          </w:p>
        </w:tc>
        <w:tc>
          <w:p>
            <w:r>
              <w:t xml:space="preserve">Reinstated — time only, no cost</w:t>
            </w:r>
          </w:p>
        </w:tc>
      </w:tr>
      <w:tr>
        <w:trPr>
          <w:tblHeader w:val="false"/>
        </w:trPr>
        <w:tc>
          <w:tcPr>
            <w:shd w:fill="F5F5F5" w:val="clear"/>
          </w:tcPr>
          <w:p>
            <w:r>
              <w:t xml:space="preserve">Deletion of 13.7 (cost adjustment)</w:t>
            </w:r>
          </w:p>
        </w:tc>
        <w:tc>
          <w:tcPr>
            <w:shd w:fill="F5F5F5" w:val="clear"/>
          </w:tcPr>
          <w:p>
            <w:r>
              <w:t xml:space="preserve">Partially accepted</w:t>
            </w:r>
          </w:p>
        </w:tc>
        <w:tc>
          <w:tcPr>
            <w:shd w:fill="F5F5F5" w:val="clear"/>
          </w:tcPr>
          <w:p>
            <w:r>
              <w:t xml:space="preserve">Reinstated — restricted basket, 5% franchise</w:t>
            </w:r>
          </w:p>
        </w:tc>
      </w:tr>
      <w:tr>
        <w:trPr>
          <w:tblHeader w:val="false"/>
        </w:trPr>
        <w:tc>
          <w:p>
            <w:r>
              <w:t xml:space="preserve">Deletion of 1.9 (errors in ER)</w:t>
            </w:r>
          </w:p>
        </w:tc>
        <w:tc>
          <w:p>
            <w:r>
              <w:rPr>
                <w:b/>
                <w:bCs/>
              </w:rPr>
              <w:t xml:space="preserve">Not accepted</w:t>
            </w:r>
          </w:p>
        </w:tc>
        <w:tc>
          <w:p>
            <w:r>
              <w:t xml:space="preserve">Unchanged</w:t>
            </w:r>
          </w:p>
        </w:tc>
      </w:tr>
      <w:tr>
        <w:trPr>
          <w:tblHeader w:val="false"/>
        </w:trPr>
        <w:tc>
          <w:tcPr>
            <w:shd w:fill="F5F5F5" w:val="clear"/>
          </w:tcPr>
          <w:p>
            <w:r>
              <w:t xml:space="preserve">Absolute performance warranty (SP-6)</w:t>
            </w:r>
          </w:p>
        </w:tc>
        <w:tc>
          <w:tcPr>
            <w:shd w:fill="F5F5F5" w:val="clear"/>
          </w:tcPr>
          <w:p>
            <w:r>
              <w:rPr>
                <w:b/>
                <w:bCs/>
              </w:rPr>
              <w:t xml:space="preserve">Not accepted</w:t>
            </w:r>
          </w:p>
        </w:tc>
        <w:tc>
          <w:tcPr>
            <w:shd w:fill="F5F5F5" w:val="clear"/>
          </w:tcPr>
          <w:p>
            <w:r>
              <w:t xml:space="preserve">Unchanged</w:t>
            </w:r>
          </w:p>
        </w:tc>
      </w:tr>
      <w:tr>
        <w:trPr>
          <w:tblHeader w:val="false"/>
        </w:trPr>
        <w:tc>
          <w:p>
            <w:r>
              <w:t xml:space="preserve">Concurrent delay bar (SP-7)</w:t>
            </w:r>
          </w:p>
        </w:tc>
        <w:tc>
          <w:p>
            <w:r>
              <w:rPr>
                <w:b/>
                <w:bCs/>
              </w:rPr>
              <w:t xml:space="preserve">Not accepted</w:t>
            </w:r>
          </w:p>
        </w:tc>
        <w:tc>
          <w:p>
            <w:r>
              <w:t xml:space="preserve">Unchanged</w:t>
            </w:r>
          </w:p>
        </w:tc>
      </w:tr>
      <w:tr>
        <w:trPr>
          <w:tblHeader w:val="false"/>
        </w:trPr>
        <w:tc>
          <w:tcPr>
            <w:shd w:fill="F5F5F5" w:val="clear"/>
          </w:tcPr>
          <w:p>
            <w:r>
              <w:t xml:space="preserve">Deletion of 1.15 (liability cap)</w:t>
            </w:r>
          </w:p>
        </w:tc>
        <w:tc>
          <w:tcPr>
            <w:shd w:fill="F5F5F5" w:val="clear"/>
          </w:tcPr>
          <w:p>
            <w:r>
              <w:rPr>
                <w:b/>
                <w:bCs/>
              </w:rPr>
              <w:t xml:space="preserve">Not accepted</w:t>
            </w:r>
          </w:p>
        </w:tc>
        <w:tc>
          <w:tcPr>
            <w:shd w:fill="F5F5F5" w:val="clear"/>
          </w:tcPr>
          <w:p>
            <w:r>
              <w:t xml:space="preserve">Unchanged</w:t>
            </w:r>
          </w:p>
        </w:tc>
      </w:tr>
      <w:tr>
        <w:trPr>
          <w:tblHeader w:val="false"/>
        </w:trPr>
        <w:tc>
          <w:p>
            <w:r>
              <w:t xml:space="preserve">14-day absolute claims bar</w:t>
            </w:r>
          </w:p>
        </w:tc>
        <w:tc>
          <w:p>
            <w:r>
              <w:t xml:space="preserve">Partially accepted</w:t>
            </w:r>
          </w:p>
        </w:tc>
        <w:tc>
          <w:p>
            <w:r>
              <w:t xml:space="preserve">Extended to 21 days</w:t>
            </w:r>
          </w:p>
        </w:tc>
      </w:tr>
      <w:tr>
        <w:trPr>
          <w:tblHeader w:val="false"/>
        </w:trPr>
        <w:tc>
          <w:tcPr>
            <w:shd w:fill="F5F5F5" w:val="clear"/>
          </w:tcPr>
          <w:p>
            <w:r>
              <w:t xml:space="preserve">Exclusion of weather from Exceptional Events</w:t>
            </w:r>
          </w:p>
        </w:tc>
        <w:tc>
          <w:tcPr>
            <w:shd w:fill="F5F5F5" w:val="clear"/>
          </w:tcPr>
          <w:p>
            <w:r>
              <w:t xml:space="preserve">Partially accepted</w:t>
            </w:r>
          </w:p>
        </w:tc>
        <w:tc>
          <w:tcPr>
            <w:shd w:fill="F5F5F5" w:val="clear"/>
          </w:tcPr>
          <w:p>
            <w:r>
              <w:t xml:space="preserve">1-in-25-year weather reinstated</w:t>
            </w:r>
          </w:p>
        </w:tc>
      </w:tr>
      <w:tr>
        <w:trPr>
          <w:tblHeader w:val="false"/>
        </w:trPr>
        <w:tc>
          <w:p>
            <w:r>
              <w:t xml:space="preserve">LCIA London arbitration</w:t>
            </w:r>
          </w:p>
        </w:tc>
        <w:tc>
          <w:p>
            <w:r>
              <w:t xml:space="preserve">Accepted</w:t>
            </w:r>
          </w:p>
        </w:tc>
        <w:tc>
          <w:p>
            <w:r>
              <w:t xml:space="preserve">Changed to Finland Chamber of Commerce, Helsinki</w:t>
            </w:r>
          </w:p>
        </w:tc>
      </w:tr>
      <w:tr>
        <w:trPr>
          <w:tblHeader w:val="false"/>
        </w:trPr>
        <w:tc>
          <w:tcPr>
            <w:shd w:fill="F5F5F5" w:val="clear"/>
          </w:tcPr>
          <w:p>
            <w:r>
              <w:t xml:space="preserve">Deletion of DAAB</w:t>
            </w:r>
          </w:p>
        </w:tc>
        <w:tc>
          <w:tcPr>
            <w:shd w:fill="F5F5F5" w:val="clear"/>
          </w:tcPr>
          <w:p>
            <w:r>
              <w:rPr>
                <w:b/>
                <w:bCs/>
              </w:rPr>
              <w:t xml:space="preserve">Not accepted</w:t>
            </w:r>
          </w:p>
        </w:tc>
        <w:tc>
          <w:tcPr>
            <w:shd w:fill="F5F5F5" w:val="clear"/>
          </w:tcPr>
          <w:p>
            <w:r>
              <w:t xml:space="preserve">Unchanged</w:t>
            </w:r>
          </w:p>
        </w:tc>
      </w:tr>
    </w:tbl>
    <w:p/>
    <w:p>
      <w:pPr>
        <w:pStyle w:val="Heading1"/>
        <w:pBdr>
          <w:bottom w:val="single" w:color="1F6FB2" w:sz="6"/>
        </w:pBdr>
        <w:spacing w:after="120" w:before="240"/>
      </w:pPr>
      <w:r>
        <w:rPr>
          <w:b/>
          <w:bCs/>
          <w:color w:val="0F2E4C"/>
        </w:rPr>
        <w:t xml:space="preserve">2. WHAT ACTUALLY CHANGED — CLAUSE BY CLAUSE</w:t>
      </w:r>
    </w:p>
    <w:p>
      <w:pPr>
        <w:pStyle w:val="Heading1"/>
        <w:pBdr>
          <w:bottom w:val="single" w:color="1F6FB2" w:sz="6"/>
        </w:pBdr>
        <w:spacing w:after="120" w:before="240"/>
      </w:pPr>
      <w:r>
        <w:rPr>
          <w:b/>
          <w:bCs/>
          <w:color w:val="0F2E4C"/>
        </w:rPr>
        <w:t xml:space="preserve">— ✅ CONCESSIONS REALISED (12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E4C" w:val="clear"/>
          </w:tcPr>
          <w:p>
            <w:pPr>
              <w:jc w:val="left"/>
            </w:pPr>
            <w:r>
              <w:rPr>
                <w:b/>
                <w:bCs/>
                <w:color w:val="FFFFFF"/>
              </w:rPr>
              <w:t xml:space="preserve">#</w:t>
            </w:r>
          </w:p>
        </w:tc>
        <w:tc>
          <w:tcPr>
            <w:shd w:fill="0F2E4C" w:val="clear"/>
          </w:tcPr>
          <w:p>
            <w:pPr>
              <w:jc w:val="left"/>
            </w:pPr>
            <w:r>
              <w:rPr>
                <w:b/>
                <w:bCs/>
                <w:color w:val="FFFFFF"/>
              </w:rPr>
              <w:t xml:space="preserve">Item</w:t>
            </w:r>
          </w:p>
        </w:tc>
        <w:tc>
          <w:tcPr>
            <w:shd w:fill="0F2E4C" w:val="clear"/>
          </w:tcPr>
          <w:p>
            <w:pPr>
              <w:jc w:val="left"/>
            </w:pPr>
            <w:r>
              <w:rPr>
                <w:b/>
                <w:bCs/>
                <w:color w:val="FFFFFF"/>
              </w:rPr>
              <w:t xml:space="preserve">Rev A</w:t>
            </w:r>
          </w:p>
        </w:tc>
        <w:tc>
          <w:tcPr>
            <w:shd w:fill="0F2E4C" w:val="clear"/>
          </w:tcPr>
          <w:p>
            <w:pPr>
              <w:jc w:val="left"/>
            </w:pPr>
            <w:r>
              <w:rPr>
                <w:b/>
                <w:bCs/>
                <w:color w:val="FFFFFF"/>
              </w:rPr>
              <w:t xml:space="preserve">Rev B</w:t>
            </w:r>
          </w:p>
        </w:tc>
        <w:tc>
          <w:tcPr>
            <w:shd w:fill="0F2E4C" w:val="clear"/>
          </w:tcPr>
          <w:p>
            <w:pPr>
              <w:jc w:val="left"/>
            </w:pPr>
            <w:r>
              <w:rPr>
                <w:b/>
                <w:bCs/>
                <w:color w:val="FFFFFF"/>
              </w:rPr>
              <w:t xml:space="preserve">Assessment</w:t>
            </w:r>
          </w:p>
        </w:tc>
      </w:tr>
      <w:tr>
        <w:trPr>
          <w:tblHeader w:val="false"/>
        </w:trPr>
        <w:tc>
          <w:p>
            <w:r>
              <w:t xml:space="preserve">1</w:t>
            </w:r>
          </w:p>
        </w:tc>
        <w:tc>
          <w:p>
            <w:r>
              <w:rPr>
                <w:b/>
                <w:bCs/>
              </w:rPr>
              <w:t xml:space="preserve">Advance Payment</w:t>
            </w:r>
            <w:r>
              <w:t xml:space="preserve"> (SP-11 / 14.2)</w:t>
            </w:r>
          </w:p>
        </w:tc>
        <w:tc>
          <w:p>
            <w:r>
              <w:t xml:space="preserve">DELETED — zero advance</w:t>
            </w:r>
          </w:p>
        </w:tc>
        <w:tc>
          <w:p>
            <w:r>
              <w:rPr>
                <w:b/>
                <w:bCs/>
              </w:rPr>
              <w:t xml:space="preserve">5% (€4.62M)</w:t>
            </w:r>
            <w:r>
              <w:t xml:space="preserve"> against bank guarantee, repaid at 8% per IPC</w:t>
            </w:r>
          </w:p>
        </w:tc>
        <w:tc>
          <w:p>
            <w:r>
              <w:t xml:space="preserve">✅ Real concession. Matches the lower end of our normal range.</w:t>
            </w:r>
          </w:p>
        </w:tc>
      </w:tr>
      <w:tr>
        <w:trPr>
          <w:tblHeader w:val="false"/>
        </w:trPr>
        <w:tc>
          <w:tcPr>
            <w:shd w:fill="F5F5F5" w:val="clear"/>
          </w:tcPr>
          <w:p>
            <w:r>
              <w:t xml:space="preserve">2</w:t>
            </w:r>
          </w:p>
        </w:tc>
        <w:tc>
          <w:tcPr>
            <w:shd w:fill="F5F5F5" w:val="clear"/>
          </w:tcPr>
          <w:p>
            <w:r>
              <w:rPr>
                <w:b/>
                <w:bCs/>
              </w:rPr>
              <w:t xml:space="preserve">Retention Rate</w:t>
            </w:r>
            <w:r>
              <w:t xml:space="preserve"> (14.3 / SP-13)</w:t>
            </w:r>
          </w:p>
        </w:tc>
        <w:tc>
          <w:tcPr>
            <w:shd w:fill="F5F5F5" w:val="clear"/>
          </w:tcPr>
          <w:p>
            <w:r>
              <w:t xml:space="preserve">10% (€9.24M)</w:t>
            </w:r>
          </w:p>
        </w:tc>
        <w:tc>
          <w:tcPr>
            <w:shd w:fill="F5F5F5" w:val="clear"/>
          </w:tcPr>
          <w:p>
            <w:r>
              <w:rPr>
                <w:b/>
                <w:bCs/>
              </w:rPr>
              <w:t xml:space="preserve">7.5%</w:t>
            </w:r>
          </w:p>
        </w:tc>
        <w:tc>
          <w:tcPr>
            <w:shd w:fill="F5F5F5" w:val="clear"/>
          </w:tcPr>
          <w:p>
            <w:r>
              <w:t xml:space="preserve">✅ Down from 10% but still above our 5% norm.</w:t>
            </w:r>
          </w:p>
        </w:tc>
      </w:tr>
      <w:tr>
        <w:trPr>
          <w:tblHeader w:val="false"/>
        </w:trPr>
        <w:tc>
          <w:p>
            <w:r>
              <w:t xml:space="preserve">3</w:t>
            </w:r>
          </w:p>
        </w:tc>
        <w:tc>
          <w:p>
            <w:r>
              <w:rPr>
                <w:b/>
                <w:bCs/>
              </w:rPr>
              <w:t xml:space="preserve">Retention Release</w:t>
            </w:r>
            <w:r>
              <w:t xml:space="preserve"> (SP-13)</w:t>
            </w:r>
          </w:p>
        </w:tc>
        <w:tc>
          <w:p>
            <w:r>
              <w:t xml:space="preserve">All held until Performance Certificate (36 months from last TOC)</w:t>
            </w:r>
          </w:p>
        </w:tc>
        <w:tc>
          <w:p>
            <w:r>
              <w:rPr>
                <w:b/>
                <w:bCs/>
              </w:rPr>
              <w:t xml:space="preserve">Half at Section 4 TOC</w:t>
            </w:r>
            <w:r>
              <w:t xml:space="preserve"> (~22 months); remainder at PC</w:t>
            </w:r>
          </w:p>
        </w:tc>
        <w:tc>
          <w:p>
            <w:r>
              <w:t xml:space="preserve">✅ Meaningful — frees ~€3.5M at completion rather than 3 years later.</w:t>
            </w:r>
          </w:p>
        </w:tc>
      </w:tr>
      <w:tr>
        <w:trPr>
          <w:tblHeader w:val="false"/>
        </w:trPr>
        <w:tc>
          <w:tcPr>
            <w:shd w:fill="F5F5F5" w:val="clear"/>
          </w:tcPr>
          <w:p>
            <w:r>
              <w:t xml:space="preserve">4</w:t>
            </w:r>
          </w:p>
        </w:tc>
        <w:tc>
          <w:tcPr>
            <w:shd w:fill="F5F5F5" w:val="clear"/>
          </w:tcPr>
          <w:p>
            <w:r>
              <w:rPr>
                <w:b/>
                <w:bCs/>
              </w:rPr>
              <w:t xml:space="preserve">Retention Bond</w:t>
            </w:r>
            <w:r>
              <w:t xml:space="preserve"> (SP-13)</w:t>
            </w:r>
          </w:p>
        </w:tc>
        <w:tc>
          <w:tcPr>
            <w:shd w:fill="F5F5F5" w:val="clear"/>
          </w:tcPr>
          <w:p>
            <w:r>
              <w:t xml:space="preserve">No bond substitution permitted</w:t>
            </w:r>
          </w:p>
        </w:tc>
        <w:tc>
          <w:tcPr>
            <w:shd w:fill="F5F5F5" w:val="clear"/>
          </w:tcPr>
          <w:p>
            <w:r>
              <w:t xml:space="preserve">Bond substitution </w:t>
            </w:r>
            <w:r>
              <w:rPr>
                <w:b/>
                <w:bCs/>
              </w:rPr>
              <w:t xml:space="preserve">available from Section 1 TOC</w:t>
            </w:r>
          </w:p>
        </w:tc>
        <w:tc>
          <w:tcPr>
            <w:shd w:fill="F5F5F5" w:val="clear"/>
          </w:tcPr>
          <w:p>
            <w:r>
              <w:t xml:space="preserve">✅ Our standard position restored.</w:t>
            </w:r>
          </w:p>
        </w:tc>
      </w:tr>
      <w:tr>
        <w:trPr>
          <w:tblHeader w:val="false"/>
        </w:trPr>
        <w:tc>
          <w:p>
            <w:r>
              <w:t xml:space="preserve">5</w:t>
            </w:r>
          </w:p>
        </w:tc>
        <w:tc>
          <w:p>
            <w:r>
              <w:rPr>
                <w:b/>
                <w:bCs/>
              </w:rPr>
              <w:t xml:space="preserve">LD Cap</w:t>
            </w:r>
            <w:r>
              <w:t xml:space="preserve"> (8.8 / SP-8)</w:t>
            </w:r>
          </w:p>
        </w:tc>
        <w:tc>
          <w:p>
            <w:r>
              <w:t xml:space="preserve">20% (€18.48M)</w:t>
            </w:r>
          </w:p>
        </w:tc>
        <w:tc>
          <w:p>
            <w:r>
              <w:rPr>
                <w:b/>
                <w:bCs/>
              </w:rPr>
              <w:t xml:space="preserve">12% (€11.09M)</w:t>
            </w:r>
          </w:p>
        </w:tc>
        <w:tc>
          <w:p>
            <w:r>
              <w:t xml:space="preserve">✅ Down from double our norm but still above our 10% precedent.</w:t>
            </w:r>
          </w:p>
        </w:tc>
      </w:tr>
      <w:tr>
        <w:trPr>
          <w:tblHeader w:val="false"/>
        </w:trPr>
        <w:tc>
          <w:tcPr>
            <w:shd w:fill="F5F5F5" w:val="clear"/>
          </w:tcPr>
          <w:p>
            <w:r>
              <w:t xml:space="preserve">6</w:t>
            </w:r>
          </w:p>
        </w:tc>
        <w:tc>
          <w:tcPr>
            <w:shd w:fill="F5F5F5" w:val="clear"/>
          </w:tcPr>
          <w:p>
            <w:r>
              <w:rPr>
                <w:b/>
                <w:bCs/>
              </w:rPr>
              <w:t xml:space="preserve">DNP</w:t>
            </w:r>
            <w:r>
              <w:t xml:space="preserve"> (11.1)</w:t>
            </w:r>
          </w:p>
        </w:tc>
        <w:tc>
          <w:tcPr>
            <w:shd w:fill="F5F5F5" w:val="clear"/>
          </w:tcPr>
          <w:p>
            <w:r>
              <w:t xml:space="preserve">36 months</w:t>
            </w:r>
          </w:p>
        </w:tc>
        <w:tc>
          <w:tcPr>
            <w:shd w:fill="F5F5F5" w:val="clear"/>
          </w:tcPr>
          <w:p>
            <w:r>
              <w:rPr>
                <w:b/>
                <w:bCs/>
              </w:rPr>
              <w:t xml:space="preserve">24 months</w:t>
            </w:r>
          </w:p>
        </w:tc>
        <w:tc>
          <w:tcPr>
            <w:shd w:fill="F5F5F5" w:val="clear"/>
          </w:tcPr>
          <w:p>
            <w:r>
              <w:t xml:space="preserve">✅ Matches our precedent.</w:t>
            </w:r>
          </w:p>
        </w:tc>
      </w:tr>
      <w:tr>
        <w:trPr>
          <w:tblHeader w:val="false"/>
        </w:trPr>
        <w:tc>
          <w:p>
            <w:r>
              <w:t xml:space="preserve">7</w:t>
            </w:r>
          </w:p>
        </w:tc>
        <w:tc>
          <w:p>
            <w:r>
              <w:rPr>
                <w:b/>
                <w:bCs/>
              </w:rPr>
              <w:t xml:space="preserve">Ground Risk</w:t>
            </w:r>
            <w:r>
              <w:t xml:space="preserve"> (SP-5 / 4.12)</w:t>
            </w:r>
          </w:p>
        </w:tc>
        <w:tc>
          <w:p>
            <w:r>
              <w:t xml:space="preserve">DELETED — all ground risk on Contractor</w:t>
            </w:r>
          </w:p>
        </w:tc>
        <w:tc>
          <w:p>
            <w:r>
              <w:rPr>
                <w:b/>
                <w:bCs/>
              </w:rPr>
              <w:t xml:space="preserve">Reinstated — time only, no cost</w:t>
            </w:r>
          </w:p>
        </w:tc>
        <w:tc>
          <w:p>
            <w:r>
              <w:t xml:space="preserve">⚠️ Partial. You get EOT relief for unforeseen conditions but </w:t>
            </w:r>
            <w:r>
              <w:rPr>
                <w:b/>
                <w:bCs/>
              </w:rPr>
              <w:t xml:space="preserve">zero cost recovery</w:t>
            </w:r>
            <w:r>
              <w:t xml:space="preserve">. The geotech report's "residual risks" (made ground, boulder zone, sulphide) are expressly deemed foreseeable — so no relief at all for those.</w:t>
            </w:r>
          </w:p>
        </w:tc>
      </w:tr>
      <w:tr>
        <w:trPr>
          <w:tblHeader w:val="false"/>
        </w:trPr>
        <w:tc>
          <w:tcPr>
            <w:shd w:fill="F5F5F5" w:val="clear"/>
          </w:tcPr>
          <w:p>
            <w:r>
              <w:t xml:space="preserve">8</w:t>
            </w:r>
          </w:p>
        </w:tc>
        <w:tc>
          <w:tcPr>
            <w:shd w:fill="F5F5F5" w:val="clear"/>
          </w:tcPr>
          <w:p>
            <w:r>
              <w:rPr>
                <w:b/>
                <w:bCs/>
              </w:rPr>
              <w:t xml:space="preserve">Price Escalation</w:t>
            </w:r>
            <w:r>
              <w:t xml:space="preserve"> (SP-10 / 13.7)</w:t>
            </w:r>
          </w:p>
        </w:tc>
        <w:tc>
          <w:tcPr>
            <w:shd w:fill="F5F5F5" w:val="clear"/>
          </w:tcPr>
          <w:p>
            <w:r>
              <w:t xml:space="preserve">DELETED — no adjustment</w:t>
            </w:r>
          </w:p>
        </w:tc>
        <w:tc>
          <w:tcPr>
            <w:shd w:fill="F5F5F5" w:val="clear"/>
          </w:tcPr>
          <w:p>
            <w:r>
              <w:rPr>
                <w:b/>
                <w:bCs/>
              </w:rPr>
              <w:t xml:space="preserve">Structural steel, copper, diesel only</w:t>
            </w:r>
            <w:r>
              <w:t xml:space="preserve">; 5% franchise; Statistics Finland PPI</w:t>
            </w:r>
          </w:p>
        </w:tc>
        <w:tc>
          <w:tcPr>
            <w:shd w:fill="F5F5F5" w:val="clear"/>
          </w:tcPr>
          <w:p>
            <w:r>
              <w:t xml:space="preserve">⚠️ Thin. Three commodities only, no labour/energy/transport, and the 5% franchise means the first 5% of inflation eats into our margin before any adjustment kicks in. At current rates, unlikely to trigger in the first 12-14 months.</w:t>
            </w:r>
          </w:p>
        </w:tc>
      </w:tr>
      <w:tr>
        <w:trPr>
          <w:tblHeader w:val="false"/>
        </w:trPr>
        <w:tc>
          <w:p>
            <w:r>
              <w:t xml:space="preserve">9</w:t>
            </w:r>
          </w:p>
        </w:tc>
        <w:tc>
          <w:p>
            <w:r>
              <w:rPr>
                <w:b/>
                <w:bCs/>
              </w:rPr>
              <w:t xml:space="preserve">Claims Notice</w:t>
            </w:r>
            <w:r>
              <w:t xml:space="preserve"> (SP-15)</w:t>
            </w:r>
          </w:p>
        </w:tc>
        <w:tc>
          <w:p>
            <w:r>
              <w:t xml:space="preserve">14 days</w:t>
            </w:r>
          </w:p>
        </w:tc>
        <w:tc>
          <w:p>
            <w:r>
              <w:rPr>
                <w:b/>
                <w:bCs/>
              </w:rPr>
              <w:t xml:space="preserve">21 days</w:t>
            </w:r>
          </w:p>
        </w:tc>
        <w:tc>
          <w:p>
            <w:r>
              <w:t xml:space="preserve">⚠️ Partial. Better but the absolute bar, condition precedent, and no-waiver language are </w:t>
            </w:r>
            <w:r>
              <w:rPr>
                <w:b/>
                <w:bCs/>
              </w:rPr>
              <w:t xml:space="preserve">all unchanged</w:t>
            </w:r>
            <w:r>
              <w:t xml:space="preserve">. 21 days is still tight for a fully detailed claim on a data centre.</w:t>
            </w:r>
          </w:p>
        </w:tc>
      </w:tr>
      <w:tr>
        <w:trPr>
          <w:tblHeader w:val="false"/>
        </w:trPr>
        <w:tc>
          <w:tcPr>
            <w:shd w:fill="F5F5F5" w:val="clear"/>
          </w:tcPr>
          <w:p>
            <w:r>
              <w:t xml:space="preserve">10</w:t>
            </w:r>
          </w:p>
        </w:tc>
        <w:tc>
          <w:tcPr>
            <w:shd w:fill="F5F5F5" w:val="clear"/>
          </w:tcPr>
          <w:p>
            <w:r>
              <w:rPr>
                <w:b/>
                <w:bCs/>
              </w:rPr>
              <w:t xml:space="preserve">Weather Events</w:t>
            </w:r>
            <w:r>
              <w:t xml:space="preserve"> (SP-14)</w:t>
            </w:r>
          </w:p>
        </w:tc>
        <w:tc>
          <w:tcPr>
            <w:shd w:fill="F5F5F5" w:val="clear"/>
          </w:tcPr>
          <w:p>
            <w:r>
              <w:t xml:space="preserve">Excluded entirely from Exceptional Events</w:t>
            </w:r>
          </w:p>
        </w:tc>
        <w:tc>
          <w:tcPr>
            <w:shd w:fill="F5F5F5" w:val="clear"/>
          </w:tcPr>
          <w:p>
            <w:r>
              <w:rPr>
                <w:b/>
                <w:bCs/>
              </w:rPr>
              <w:t xml:space="preserve">Reinstated</w:t>
            </w:r>
            <w:r>
              <w:t xml:space="preserve"> — 1-in-25-year threshold per FMI records</w:t>
            </w:r>
          </w:p>
        </w:tc>
        <w:tc>
          <w:tcPr>
            <w:shd w:fill="F5F5F5" w:val="clear"/>
          </w:tcPr>
          <w:p>
            <w:r>
              <w:t xml:space="preserve">⚠️ Partial. A genuinely exceptional Nordic winter event could qualify. But pandemic, public authority acts, labour/energy shortages remain expressly excluded.</w:t>
            </w:r>
          </w:p>
        </w:tc>
      </w:tr>
      <w:tr>
        <w:trPr>
          <w:tblHeader w:val="false"/>
        </w:trPr>
        <w:tc>
          <w:p>
            <w:r>
              <w:t xml:space="preserve">11</w:t>
            </w:r>
          </w:p>
        </w:tc>
        <w:tc>
          <w:p>
            <w:r>
              <w:rPr>
                <w:b/>
                <w:bCs/>
              </w:rPr>
              <w:t xml:space="preserve">Arbitration Seat</w:t>
            </w:r>
            <w:r>
              <w:t xml:space="preserve"> (SP-17)</w:t>
            </w:r>
          </w:p>
        </w:tc>
        <w:tc>
          <w:p>
            <w:r>
              <w:t xml:space="preserve">LCIA London</w:t>
            </w:r>
          </w:p>
        </w:tc>
        <w:tc>
          <w:p>
            <w:r>
              <w:rPr>
                <w:b/>
                <w:bCs/>
              </w:rPr>
              <w:t xml:space="preserve">Finland Chamber of Commerce, Helsinki</w:t>
            </w:r>
            <w:r>
              <w:t xml:space="preserve">; 3 arbitrators; English</w:t>
            </w:r>
          </w:p>
        </w:tc>
        <w:tc>
          <w:p>
            <w:r>
              <w:t xml:space="preserve">✅ Material concession. Removes the jurisdictional cost and forum disadvantage.</w:t>
            </w:r>
          </w:p>
        </w:tc>
      </w:tr>
      <w:tr>
        <w:trPr>
          <w:tblHeader w:val="false"/>
        </w:trPr>
        <w:tc>
          <w:tcPr>
            <w:shd w:fill="F5F5F5" w:val="clear"/>
          </w:tcPr>
          <w:p>
            <w:r>
              <w:t xml:space="preserve">12</w:t>
            </w:r>
          </w:p>
        </w:tc>
        <w:tc>
          <w:tcPr>
            <w:shd w:fill="F5F5F5" w:val="clear"/>
          </w:tcPr>
          <w:p>
            <w:r>
              <w:rPr>
                <w:b/>
                <w:bCs/>
              </w:rPr>
              <w:t xml:space="preserve">Pay-when-paid</w:t>
            </w:r>
            <w:r>
              <w:t xml:space="preserve"> (SP-4)</w:t>
            </w:r>
          </w:p>
        </w:tc>
        <w:tc>
          <w:tcPr>
            <w:shd w:fill="F5F5F5" w:val="clear"/>
          </w:tcPr>
          <w:p>
            <w:r>
              <w:t xml:space="preserve">60-day, pay-when-paid to subcontractors</w:t>
            </w:r>
          </w:p>
        </w:tc>
        <w:tc>
          <w:tcPr>
            <w:shd w:fill="F5F5F5" w:val="clear"/>
          </w:tcPr>
          <w:p>
            <w:r>
              <w:rPr>
                <w:b/>
                <w:bCs/>
              </w:rPr>
              <w:t xml:space="preserve">45 days only</w:t>
            </w:r>
            <w:r>
              <w:t xml:space="preserve"> — pay-when-paid withdrawn</w:t>
            </w:r>
          </w:p>
        </w:tc>
        <w:tc>
          <w:tcPr>
            <w:shd w:fill="F5F5F5" w:val="clear"/>
          </w:tcPr>
          <w:p>
            <w:r>
              <w:t xml:space="preserve">✅ The legally problematic clause is gone. 45 days is still a stretch but conventional.</w:t>
            </w:r>
          </w:p>
        </w:tc>
      </w:tr>
    </w:tbl>
    <w:p/>
    <w:p>
      <w:pPr>
        <w:pStyle w:val="Heading1"/>
        <w:pBdr>
          <w:bottom w:val="single" w:color="1F6FB2" w:sz="6"/>
        </w:pBdr>
        <w:spacing w:after="120" w:before="240"/>
      </w:pPr>
      <w:r>
        <w:rPr>
          <w:b/>
          <w:bCs/>
          <w:color w:val="0F2E4C"/>
        </w:rPr>
        <w:t xml:space="preserve">— ❌ DID NOT MOVE — OUR FIVE MUST-FIX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E4C" w:val="clear"/>
          </w:tcPr>
          <w:p>
            <w:pPr>
              <w:jc w:val="left"/>
            </w:pPr>
            <w:r>
              <w:rPr>
                <w:b/>
                <w:bCs/>
                <w:color w:val="FFFFFF"/>
              </w:rPr>
              <w:t xml:space="preserve">#</w:t>
            </w:r>
          </w:p>
        </w:tc>
        <w:tc>
          <w:tcPr>
            <w:shd w:fill="0F2E4C" w:val="clear"/>
          </w:tcPr>
          <w:p>
            <w:pPr>
              <w:jc w:val="left"/>
            </w:pPr>
            <w:r>
              <w:rPr>
                <w:b/>
                <w:bCs/>
                <w:color w:val="FFFFFF"/>
              </w:rPr>
              <w:t xml:space="preserve">Item</w:t>
            </w:r>
          </w:p>
        </w:tc>
        <w:tc>
          <w:tcPr>
            <w:shd w:fill="0F2E4C" w:val="clear"/>
          </w:tcPr>
          <w:p>
            <w:pPr>
              <w:jc w:val="left"/>
            </w:pPr>
            <w:r>
              <w:rPr>
                <w:b/>
                <w:bCs/>
                <w:color w:val="FFFFFF"/>
              </w:rPr>
              <w:t xml:space="preserve">Rev A</w:t>
            </w:r>
          </w:p>
        </w:tc>
        <w:tc>
          <w:tcPr>
            <w:shd w:fill="0F2E4C" w:val="clear"/>
          </w:tcPr>
          <w:p>
            <w:pPr>
              <w:jc w:val="left"/>
            </w:pPr>
            <w:r>
              <w:rPr>
                <w:b/>
                <w:bCs/>
                <w:color w:val="FFFFFF"/>
              </w:rPr>
              <w:t xml:space="preserve">Rev B</w:t>
            </w:r>
          </w:p>
        </w:tc>
        <w:tc>
          <w:tcPr>
            <w:shd w:fill="0F2E4C" w:val="clear"/>
          </w:tcPr>
          <w:p>
            <w:pPr>
              <w:jc w:val="left"/>
            </w:pPr>
            <w:r>
              <w:rPr>
                <w:b/>
                <w:bCs/>
                <w:color w:val="FFFFFF"/>
              </w:rPr>
              <w:t xml:space="preserve">Our Risk Rating</w:t>
            </w:r>
          </w:p>
        </w:tc>
      </w:tr>
      <w:tr>
        <w:trPr>
          <w:tblHeader w:val="false"/>
        </w:trPr>
        <w:tc>
          <w:p>
            <w:r>
              <w:t xml:space="preserve">1</w:t>
            </w:r>
          </w:p>
        </w:tc>
        <w:tc>
          <w:p>
            <w:r>
              <w:rPr>
                <w:b/>
                <w:bCs/>
              </w:rPr>
              <w:t xml:space="preserve">Errors in Employer's Requirements</w:t>
            </w:r>
            <w:r>
              <w:t xml:space="preserve"> (SP-2 / 1.9)</w:t>
            </w:r>
          </w:p>
        </w:tc>
        <w:tc>
          <w:p>
            <w:r>
              <w:t xml:space="preserve">Deleted. All ER errors at Contractor risk.</w:t>
            </w:r>
          </w:p>
        </w:tc>
        <w:tc>
          <w:p>
            <w:r>
              <w:rPr>
                <w:b/>
                <w:bCs/>
              </w:rPr>
              <w:t xml:space="preserve">Unchanged.</w:t>
            </w:r>
          </w:p>
        </w:tc>
        <w:tc>
          <w:p>
            <w:r>
              <w:rPr>
                <w:b/>
                <w:bCs/>
              </w:rPr>
              <w:t xml:space="preserve">CRITICAL</w:t>
            </w:r>
            <w:r>
              <w:t xml:space="preserve"> — 350+ pages of ER + Tenant Technical Annex. No EOT, no cost for correcting errors.</w:t>
            </w:r>
          </w:p>
        </w:tc>
      </w:tr>
      <w:tr>
        <w:trPr>
          <w:tblHeader w:val="false"/>
        </w:trPr>
        <w:tc>
          <w:tcPr>
            <w:shd w:fill="F5F5F5" w:val="clear"/>
          </w:tcPr>
          <w:p>
            <w:r>
              <w:t xml:space="preserve">2</w:t>
            </w:r>
          </w:p>
        </w:tc>
        <w:tc>
          <w:tcPr>
            <w:shd w:fill="F5F5F5" w:val="clear"/>
          </w:tcPr>
          <w:p>
            <w:r>
              <w:rPr>
                <w:b/>
                <w:bCs/>
              </w:rPr>
              <w:t xml:space="preserve">Limitation of Liability</w:t>
            </w:r>
            <w:r>
              <w:t xml:space="preserve"> (SP-3 / 1.15)</w:t>
            </w:r>
          </w:p>
        </w:tc>
        <w:tc>
          <w:tcPr>
            <w:shd w:fill="F5F5F5" w:val="clear"/>
          </w:tcPr>
          <w:p>
            <w:r>
              <w:t xml:space="preserve">Deleted. No cap. Unlimited liability.</w:t>
            </w:r>
          </w:p>
        </w:tc>
        <w:tc>
          <w:tcPr>
            <w:shd w:fill="F5F5F5" w:val="clear"/>
          </w:tcPr>
          <w:p>
            <w:r>
              <w:rPr>
                <w:b/>
                <w:bCs/>
              </w:rPr>
              <w:t xml:space="preserve">Unchanged.</w:t>
            </w:r>
          </w:p>
        </w:tc>
        <w:tc>
          <w:tcPr>
            <w:shd w:fill="F5F5F5" w:val="clear"/>
          </w:tcPr>
          <w:p>
            <w:r>
              <w:rPr>
                <w:b/>
                <w:bCs/>
              </w:rPr>
              <w:t xml:space="preserve">CRITICAL</w:t>
            </w:r>
            <w:r>
              <w:t xml:space="preserve"> — our entire corporate balance sheet remains exposed.</w:t>
            </w:r>
          </w:p>
        </w:tc>
      </w:tr>
      <w:tr>
        <w:trPr>
          <w:tblHeader w:val="false"/>
        </w:trPr>
        <w:tc>
          <w:p>
            <w:r>
              <w:t xml:space="preserve">3</w:t>
            </w:r>
          </w:p>
        </w:tc>
        <w:tc>
          <w:p>
            <w:r>
              <w:rPr>
                <w:b/>
                <w:bCs/>
              </w:rPr>
              <w:t xml:space="preserve">Absolute Performance Warranty</w:t>
            </w:r>
            <w:r>
              <w:t xml:space="preserve"> (SP-6 / 5.1)</w:t>
            </w:r>
          </w:p>
        </w:tc>
        <w:tc>
          <w:p>
            <w:r>
              <w:t xml:space="preserve">Absolute fitness-for-purpose on PUE/WUE/Availability/Waste Heat. No skill &amp; care defence.</w:t>
            </w:r>
          </w:p>
        </w:tc>
        <w:tc>
          <w:p>
            <w:r>
              <w:rPr>
                <w:b/>
                <w:bCs/>
              </w:rPr>
              <w:t xml:space="preserve">Unchanged.</w:t>
            </w:r>
          </w:p>
        </w:tc>
        <w:tc>
          <w:p>
            <w:r>
              <w:rPr>
                <w:b/>
                <w:bCs/>
              </w:rPr>
              <w:t xml:space="preserve">CRITICAL</w:t>
            </w:r>
            <w:r>
              <w:t xml:space="preserve"> — guaranteeing performance to specifications we didn't write and cannot verify.</w:t>
            </w:r>
          </w:p>
        </w:tc>
      </w:tr>
      <w:tr>
        <w:trPr>
          <w:tblHeader w:val="false"/>
        </w:trPr>
        <w:tc>
          <w:tcPr>
            <w:shd w:fill="F5F5F5" w:val="clear"/>
          </w:tcPr>
          <w:p>
            <w:r>
              <w:t xml:space="preserve">4</w:t>
            </w:r>
          </w:p>
        </w:tc>
        <w:tc>
          <w:tcPr>
            <w:shd w:fill="F5F5F5" w:val="clear"/>
          </w:tcPr>
          <w:p>
            <w:r>
              <w:rPr>
                <w:b/>
                <w:bCs/>
              </w:rPr>
              <w:t xml:space="preserve">Concurrent Delay Bar</w:t>
            </w:r>
            <w:r>
              <w:t xml:space="preserve"> (SP-7 / 8.5)</w:t>
            </w:r>
          </w:p>
        </w:tc>
        <w:tc>
          <w:tcPr>
            <w:shd w:fill="F5F5F5" w:val="clear"/>
          </w:tcPr>
          <w:p>
            <w:r>
              <w:t xml:space="preserve">Any concurrent Contractor delay = entire period treated as Contractor-culpable.</w:t>
            </w:r>
          </w:p>
        </w:tc>
        <w:tc>
          <w:tcPr>
            <w:shd w:fill="F5F5F5" w:val="clear"/>
          </w:tcPr>
          <w:p>
            <w:r>
              <w:rPr>
                <w:b/>
                <w:bCs/>
              </w:rPr>
              <w:t xml:space="preserve">Unchanged.</w:t>
            </w:r>
          </w:p>
        </w:tc>
        <w:tc>
          <w:tcPr>
            <w:shd w:fill="F5F5F5" w:val="clear"/>
          </w:tcPr>
          <w:p>
            <w:r>
              <w:rPr>
                <w:b/>
                <w:bCs/>
              </w:rPr>
              <w:t xml:space="preserve">HIGH</w:t>
            </w:r>
            <w:r>
              <w:t xml:space="preserve"> — on a data centre with MEP/commissioning interdependencies, some concurrency is near-certain.</w:t>
            </w:r>
          </w:p>
        </w:tc>
      </w:tr>
      <w:tr>
        <w:trPr>
          <w:tblHeader w:val="false"/>
        </w:trPr>
        <w:tc>
          <w:p>
            <w:r>
              <w:t xml:space="preserve">5</w:t>
            </w:r>
          </w:p>
        </w:tc>
        <w:tc>
          <w:p>
            <w:r>
              <w:rPr>
                <w:b/>
                <w:bCs/>
              </w:rPr>
              <w:t xml:space="preserve">Variation — Work Immediately</w:t>
            </w:r>
            <w:r>
              <w:t xml:space="preserve"> (SP-9 / 13.3.1)</w:t>
            </w:r>
          </w:p>
        </w:tc>
        <w:tc>
          <w:p>
            <w:r>
              <w:t xml:space="preserve">Must proceed immediately whether or not price/time agreed.</w:t>
            </w:r>
          </w:p>
        </w:tc>
        <w:tc>
          <w:p>
            <w:r>
              <w:rPr>
                <w:b/>
                <w:bCs/>
              </w:rPr>
              <w:t xml:space="preserve">Unchanged.</w:t>
            </w:r>
          </w:p>
        </w:tc>
        <w:tc>
          <w:p>
            <w:r>
              <w:rPr>
                <w:b/>
                <w:bCs/>
              </w:rPr>
              <w:t xml:space="preserve">HIGH</w:t>
            </w:r>
            <w:r>
              <w:t xml:space="preserve"> — starting work without agreed price removes our commercial leverage.</w:t>
            </w:r>
          </w:p>
        </w:tc>
      </w:tr>
    </w:tbl>
    <w:p/>
    <w:p>
      <w:pPr>
        <w:pStyle w:val="Heading1"/>
        <w:pBdr>
          <w:bottom w:val="single" w:color="1F6FB2" w:sz="6"/>
        </w:pBdr>
        <w:spacing w:after="120" w:before="240"/>
      </w:pPr>
      <w:r>
        <w:rPr>
          <w:b/>
          <w:bCs/>
          <w:color w:val="0F2E4C"/>
        </w:rPr>
        <w:t xml:space="preserve">— 🔴 ONE THING THAT GOT WORSE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E4C" w:val="clear"/>
          </w:tcPr>
          <w:p>
            <w:pPr>
              <w:jc w:val="left"/>
            </w:pPr>
            <w:r>
              <w:rPr>
                <w:b/>
                <w:bCs/>
                <w:color w:val="FFFFFF"/>
              </w:rPr>
              <w:t xml:space="preserve">#</w:t>
            </w:r>
          </w:p>
        </w:tc>
        <w:tc>
          <w:tcPr>
            <w:shd w:fill="0F2E4C" w:val="clear"/>
          </w:tcPr>
          <w:p>
            <w:pPr>
              <w:jc w:val="left"/>
            </w:pPr>
            <w:r>
              <w:rPr>
                <w:b/>
                <w:bCs/>
                <w:color w:val="FFFFFF"/>
              </w:rPr>
              <w:t xml:space="preserve">Item</w:t>
            </w:r>
          </w:p>
        </w:tc>
        <w:tc>
          <w:tcPr>
            <w:shd w:fill="0F2E4C" w:val="clear"/>
          </w:tcPr>
          <w:p>
            <w:pPr>
              <w:jc w:val="left"/>
            </w:pPr>
            <w:r>
              <w:rPr>
                <w:b/>
                <w:bCs/>
                <w:color w:val="FFFFFF"/>
              </w:rPr>
              <w:t xml:space="preserve">Rev A</w:t>
            </w:r>
          </w:p>
        </w:tc>
        <w:tc>
          <w:tcPr>
            <w:shd w:fill="0F2E4C" w:val="clear"/>
          </w:tcPr>
          <w:p>
            <w:pPr>
              <w:jc w:val="left"/>
            </w:pPr>
            <w:r>
              <w:rPr>
                <w:b/>
                <w:bCs/>
                <w:color w:val="FFFFFF"/>
              </w:rPr>
              <w:t xml:space="preserve">Rev B</w:t>
            </w:r>
          </w:p>
        </w:tc>
        <w:tc>
          <w:tcPr>
            <w:shd w:fill="0F2E4C" w:val="clear"/>
          </w:tcPr>
          <w:p>
            <w:pPr>
              <w:jc w:val="left"/>
            </w:pPr>
            <w:r>
              <w:rPr>
                <w:b/>
                <w:bCs/>
                <w:color w:val="FFFFFF"/>
              </w:rPr>
              <w:t xml:space="preserve">Assessment</w:t>
            </w:r>
          </w:p>
        </w:tc>
      </w:tr>
      <w:tr>
        <w:trPr>
          <w:tblHeader w:val="false"/>
        </w:trPr>
        <w:tc>
          <w:p>
            <w:r>
              <w:t xml:space="preserve">—</w:t>
            </w:r>
          </w:p>
        </w:tc>
        <w:tc>
          <w:p>
            <w:r>
              <w:rPr>
                <w:b/>
                <w:bCs/>
              </w:rPr>
              <w:t xml:space="preserve">Employer Deduction Right</w:t>
            </w:r>
            <w:r>
              <w:t xml:space="preserve"> (SP-12 / 14.6)</w:t>
            </w:r>
          </w:p>
        </w:tc>
        <w:tc>
          <w:p>
            <w:r>
              <w:t xml:space="preserve">Silence = no deemed certification only</w:t>
            </w:r>
          </w:p>
        </w:tc>
        <w:tc>
          <w:p>
            <w:r>
              <w:rPr>
                <w:b/>
                <w:bCs/>
              </w:rPr>
              <w:t xml:space="preserve">NEW: Employer may deduct any sum it "considers is or may become due" including anticipated Delay Damages — before the TfC has passed, before the amount is agreed or determined.</w:t>
            </w:r>
            <w:r>
              <w:t xml:space="preserve"> And the deduction is not treated as a failure to pay.</w:t>
            </w:r>
          </w:p>
        </w:tc>
        <w:tc>
          <w:p>
            <w:r>
              <w:rPr>
                <w:b/>
                <w:bCs/>
              </w:rPr>
              <w:t xml:space="preserve">NEW RISK.</w:t>
            </w:r>
            <w:r>
              <w:t xml:space="preserve"> This allows the Employer to unilaterally withhold amounts from IPCs based on its own estimate of future LDs. Combined with SP-9 (work immediately), this creates a scenario where the Contractor must continue working while the Employer withholds payment.</w:t>
            </w:r>
          </w:p>
        </w:tc>
      </w:tr>
    </w:tbl>
    <w:p/>
    <w:p>
      <w:pPr>
        <w:pStyle w:val="Heading1"/>
        <w:pBdr>
          <w:bottom w:val="single" w:color="1F6FB2" w:sz="6"/>
        </w:pBdr>
        <w:spacing w:after="120" w:before="240"/>
      </w:pPr>
      <w:r>
        <w:rPr>
          <w:b/>
          <w:bCs/>
          <w:color w:val="0F2E4C"/>
        </w:rPr>
        <w:t xml:space="preserve">— 📋 UNCHANGED (13 items)</w:t>
      </w:r>
    </w:p>
    <w:p>
      <w:pPr>
        <w:spacing w:after="120"/>
      </w:pPr>
      <w:r>
        <w:t xml:space="preserve">SP-1 (Priority), SP-16 (No DAAB), SP-18 (Working Hours), SP-19 (Site Security), SP-20 (Review Periods), SP-21 (Progress Reports), SP-22 (Taking Over), 10% Performance Security, Financing Charges ECB+2%, PI Insurance €10M, Third-Party Liability, Sectional TfC dates, Cumulative LD accrual across Sections.</w:t>
      </w:r>
    </w:p>
    <w:p>
      <w:pPr>
        <w:spacing w:after="120"/>
      </w:pPr>
      <w:r>
        <w:t xml:space="preserve">---</w:t>
      </w:r>
    </w:p>
    <w:p>
      <w:pPr>
        <w:pStyle w:val="Heading1"/>
        <w:pBdr>
          <w:bottom w:val="single" w:color="1F6FB2" w:sz="6"/>
        </w:pBdr>
        <w:spacing w:after="120" w:before="240"/>
      </w:pPr>
      <w:r>
        <w:rPr>
          <w:b/>
          <w:bCs/>
          <w:color w:val="0F2E4C"/>
        </w:rPr>
        <w:t xml:space="preserve">3. THE FINANCIAL PICTURE — REV A vs REV B</w:t>
      </w:r>
    </w:p>
    <w:p>
      <w:pPr>
        <w:spacing w:after="120"/>
      </w:pPr>
      <w:r>
        <w:rPr>
          <w:b/>
          <w:bCs/>
        </w:rPr>
        <w:t xml:space="preserve">Net cashflow improvement: ~€10.4M released earlier across the programme life.</w:t>
      </w:r>
      <w:r>
        <w:t xml:space="preserve"> But the three critical structural risks (no liability cap, ER errors on us, absolute performance warranty) remain entirely untouched.</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Metric</w:t>
            </w:r>
          </w:p>
        </w:tc>
        <w:tc>
          <w:tcPr>
            <w:shd w:fill="0F2E4C" w:val="clear"/>
          </w:tcPr>
          <w:p>
            <w:pPr>
              <w:jc w:val="left"/>
            </w:pPr>
            <w:r>
              <w:rPr>
                <w:b/>
                <w:bCs/>
                <w:color w:val="FFFFFF"/>
              </w:rPr>
              <w:t xml:space="preserve">Rev A</w:t>
            </w:r>
          </w:p>
        </w:tc>
        <w:tc>
          <w:tcPr>
            <w:shd w:fill="0F2E4C" w:val="clear"/>
          </w:tcPr>
          <w:p>
            <w:pPr>
              <w:jc w:val="left"/>
            </w:pPr>
            <w:r>
              <w:rPr>
                <w:b/>
                <w:bCs/>
                <w:color w:val="FFFFFF"/>
              </w:rPr>
              <w:t xml:space="preserve">Rev B</w:t>
            </w:r>
          </w:p>
        </w:tc>
        <w:tc>
          <w:tcPr>
            <w:shd w:fill="0F2E4C" w:val="clear"/>
          </w:tcPr>
          <w:p>
            <w:pPr>
              <w:jc w:val="left"/>
            </w:pPr>
            <w:r>
              <w:rPr>
                <w:b/>
                <w:bCs/>
                <w:color w:val="FFFFFF"/>
              </w:rPr>
              <w:t xml:space="preserve">Movement</w:t>
            </w:r>
          </w:p>
        </w:tc>
      </w:tr>
      <w:tr>
        <w:trPr>
          <w:tblHeader w:val="false"/>
        </w:trPr>
        <w:tc>
          <w:p>
            <w:r>
              <w:t xml:space="preserve">Advance Payment</w:t>
            </w:r>
          </w:p>
        </w:tc>
        <w:tc>
          <w:p>
            <w:r>
              <w:t xml:space="preserve">€0</w:t>
            </w:r>
          </w:p>
        </w:tc>
        <w:tc>
          <w:p>
            <w:r>
              <w:t xml:space="preserve">€4,620,000</w:t>
            </w:r>
          </w:p>
        </w:tc>
        <w:tc>
          <w:p>
            <w:r>
              <w:t xml:space="preserve">+€4.62M upfront</w:t>
            </w:r>
          </w:p>
        </w:tc>
      </w:tr>
      <w:tr>
        <w:trPr>
          <w:tblHeader w:val="false"/>
        </w:trPr>
        <w:tc>
          <w:tcPr>
            <w:shd w:fill="F5F5F5" w:val="clear"/>
          </w:tcPr>
          <w:p>
            <w:r>
              <w:t xml:space="preserve">Retention locked at TOC</w:t>
            </w:r>
          </w:p>
        </w:tc>
        <w:tc>
          <w:tcPr>
            <w:shd w:fill="F5F5F5" w:val="clear"/>
          </w:tcPr>
          <w:p>
            <w:r>
              <w:t xml:space="preserve">€9,240,000 (all locked)</w:t>
            </w:r>
          </w:p>
        </w:tc>
        <w:tc>
          <w:tcPr>
            <w:shd w:fill="F5F5F5" w:val="clear"/>
          </w:tcPr>
          <w:p>
            <w:r>
              <w:t xml:space="preserve">€3,465,000 (half of 7.5% = 3.75% released at S4 TOC)</w:t>
            </w:r>
          </w:p>
        </w:tc>
        <w:tc>
          <w:tcPr>
            <w:shd w:fill="F5F5F5" w:val="clear"/>
          </w:tcPr>
          <w:p>
            <w:r>
              <w:t xml:space="preserve">~€5.78M freed ~8 months earlier</w:t>
            </w:r>
          </w:p>
        </w:tc>
      </w:tr>
      <w:tr>
        <w:trPr>
          <w:tblHeader w:val="false"/>
        </w:trPr>
        <w:tc>
          <w:p>
            <w:r>
              <w:t xml:space="preserve">Retention bond available</w:t>
            </w:r>
          </w:p>
        </w:tc>
        <w:tc>
          <w:p>
            <w:r>
              <w:t xml:space="preserve">No</w:t>
            </w:r>
          </w:p>
        </w:tc>
        <w:tc>
          <w:p>
            <w:r>
              <w:t xml:space="preserve">Yes, from S1 TOC</w:t>
            </w:r>
          </w:p>
        </w:tc>
        <w:tc>
          <w:p>
            <w:r>
              <w:t xml:space="preserve">Working capital flexibility restored</w:t>
            </w:r>
          </w:p>
        </w:tc>
      </w:tr>
      <w:tr>
        <w:trPr>
          <w:tblHeader w:val="false"/>
        </w:trPr>
        <w:tc>
          <w:tcPr>
            <w:shd w:fill="F5F5F5" w:val="clear"/>
          </w:tcPr>
          <w:p>
            <w:r>
              <w:t xml:space="preserve">LD cap at risk</w:t>
            </w:r>
          </w:p>
        </w:tc>
        <w:tc>
          <w:tcPr>
            <w:shd w:fill="F5F5F5" w:val="clear"/>
          </w:tcPr>
          <w:p>
            <w:r>
              <w:t xml:space="preserve">€18,480,000</w:t>
            </w:r>
          </w:p>
        </w:tc>
        <w:tc>
          <w:tcPr>
            <w:shd w:fill="F5F5F5" w:val="clear"/>
          </w:tcPr>
          <w:p>
            <w:r>
              <w:t xml:space="preserve">€11,088,000</w:t>
            </w:r>
          </w:p>
        </w:tc>
        <w:tc>
          <w:tcPr>
            <w:shd w:fill="F5F5F5" w:val="clear"/>
          </w:tcPr>
          <w:p>
            <w:r>
              <w:t xml:space="preserve">-€7.39M exposure</w:t>
            </w:r>
          </w:p>
        </w:tc>
      </w:tr>
      <w:tr>
        <w:trPr>
          <w:tblHeader w:val="false"/>
        </w:trPr>
        <w:tc>
          <w:p>
            <w:r>
              <w:t xml:space="preserve">DNP liability tail</w:t>
            </w:r>
          </w:p>
        </w:tc>
        <w:tc>
          <w:p>
            <w:r>
              <w:t xml:space="preserve">36 months</w:t>
            </w:r>
          </w:p>
        </w:tc>
        <w:tc>
          <w:p>
            <w:r>
              <w:t xml:space="preserve">24 months</w:t>
            </w:r>
          </w:p>
        </w:tc>
        <w:tc>
          <w:p>
            <w:r>
              <w:t xml:space="preserve">-12 months</w:t>
            </w:r>
          </w:p>
        </w:tc>
      </w:tr>
      <w:tr>
        <w:trPr>
          <w:tblHeader w:val="false"/>
        </w:trPr>
        <w:tc>
          <w:tcPr>
            <w:shd w:fill="F5F5F5" w:val="clear"/>
          </w:tcPr>
          <w:p>
            <w:r>
              <w:t xml:space="preserve">Inflation protection</w:t>
            </w:r>
          </w:p>
        </w:tc>
        <w:tc>
          <w:tcPr>
            <w:shd w:fill="F5F5F5" w:val="clear"/>
          </w:tcPr>
          <w:p>
            <w:r>
              <w:t xml:space="preserve">None</w:t>
            </w:r>
          </w:p>
        </w:tc>
        <w:tc>
          <w:tcPr>
            <w:shd w:fill="F5F5F5" w:val="clear"/>
          </w:tcPr>
          <w:p>
            <w:r>
              <w:t xml:space="preserve">Structural steel/copper/diesel only, 5% franchise</w:t>
            </w:r>
          </w:p>
        </w:tc>
        <w:tc>
          <w:tcPr>
            <w:shd w:fill="F5F5F5" w:val="clear"/>
          </w:tcPr>
          <w:p>
            <w:r>
              <w:t xml:space="preserve">Marginal — unlikely to cover real exposure</w:t>
            </w:r>
          </w:p>
        </w:tc>
      </w:tr>
      <w:tr>
        <w:trPr>
          <w:tblHeader w:val="false"/>
        </w:trPr>
        <w:tc>
          <w:p>
            <w:r>
              <w:t xml:space="preserve">Ground risk cost recovery</w:t>
            </w:r>
          </w:p>
        </w:tc>
        <w:tc>
          <w:p>
            <w:r>
              <w:t xml:space="preserve">None</w:t>
            </w:r>
          </w:p>
        </w:tc>
        <w:tc>
          <w:p>
            <w:r>
              <w:t xml:space="preserve">None (time-only EOT)</w:t>
            </w:r>
          </w:p>
        </w:tc>
        <w:tc>
          <w:p>
            <w:r>
              <w:t xml:space="preserve">No change on the money</w:t>
            </w:r>
          </w:p>
        </w:tc>
      </w:tr>
      <w:tr>
        <w:trPr>
          <w:tblHeader w:val="false"/>
        </w:trPr>
        <w:tc>
          <w:tcPr>
            <w:shd w:fill="F5F5F5" w:val="clear"/>
          </w:tcPr>
          <w:p>
            <w:r>
              <w:t xml:space="preserve">Employer deduction right</w:t>
            </w:r>
          </w:p>
        </w:tc>
        <w:tc>
          <w:tcPr>
            <w:shd w:fill="F5F5F5" w:val="clear"/>
          </w:tcPr>
          <w:p>
            <w:r>
              <w:t xml:space="preserve">None</w:t>
            </w:r>
          </w:p>
        </w:tc>
        <w:tc>
          <w:tcPr>
            <w:shd w:fill="F5F5F5" w:val="clear"/>
          </w:tcPr>
          <w:p>
            <w:r>
              <w:t xml:space="preserve">Unilateral withholding of anticipated LDs from IPCs</w:t>
            </w:r>
          </w:p>
        </w:tc>
        <w:tc>
          <w:tcPr>
            <w:shd w:fill="F5F5F5" w:val="clear"/>
          </w:tcPr>
          <w:p>
            <w:r>
              <w:t xml:space="preserve">NEW cashflow risk — unquantifiable</w:t>
            </w:r>
          </w:p>
        </w:tc>
      </w:tr>
      <w:tr>
        <w:trPr>
          <w:tblHeader w:val="false"/>
        </w:trPr>
        <w:tc>
          <w:p>
            <w:r>
              <w:t xml:space="preserve">Payment cycle</w:t>
            </w:r>
          </w:p>
        </w:tc>
        <w:tc>
          <w:p>
            <w:r>
              <w:t xml:space="preserve">42 + 33 days = 75 days</w:t>
            </w:r>
          </w:p>
        </w:tc>
        <w:tc>
          <w:p>
            <w:r>
              <w:t xml:space="preserve">28 + 45 days = 73 days</w:t>
            </w:r>
          </w:p>
        </w:tc>
        <w:tc>
          <w:p>
            <w:r>
              <w:t xml:space="preserve">-2 days (negligible)</w:t>
            </w:r>
          </w:p>
        </w:tc>
      </w:tr>
    </w:tbl>
    <w:p/>
    <w:p>
      <w:pPr>
        <w:pStyle w:val="Heading1"/>
        <w:pBdr>
          <w:bottom w:val="single" w:color="1F6FB2" w:sz="6"/>
        </w:pBdr>
        <w:spacing w:after="120" w:before="240"/>
      </w:pPr>
      <w:r>
        <w:rPr>
          <w:b/>
          <w:bCs/>
          <w:color w:val="0F2E4C"/>
        </w:rPr>
        <w:t xml:space="preserve">4. THE EMPLOYER'S BARGAINING POSTURE</w:t>
      </w:r>
    </w:p>
    <w:p>
      <w:pPr>
        <w:spacing w:after="120"/>
      </w:pPr>
      <w:r>
        <w:t xml:space="preserve">The response table tells us as much by what the Employer did NOT engage with as what they changed:</w:t>
      </w:r>
    </w:p>
    <w:p>
      <w:pPr>
        <w:spacing w:after="120"/>
      </w:pPr>
      <w:r>
        <w:t xml:space="preserve">---</w:t>
      </w:r>
    </w:p>
    <w:p>
      <w:pPr>
        <w:pStyle w:val="ListParagraph"/>
        <w:numPr>
          <w:ilvl w:val="0"/>
          <w:numId w:val="1"/>
        </w:numPr>
      </w:pPr>
      <w:r>
        <w:rPr>
          <w:b/>
          <w:bCs/>
        </w:rPr>
        <w:t xml:space="preserve">They moved on money and time</w:t>
      </w:r>
      <w:r>
        <w:t xml:space="preserve"> — advance payment, retention, LD cap, DNP, payment cycle. These cost them nothing at contract signing and keep the Employer's SPV/financing structure intact.</w:t>
      </w:r>
    </w:p>
    <w:p>
      <w:pPr>
        <w:pStyle w:val="ListParagraph"/>
        <w:numPr>
          <w:ilvl w:val="0"/>
          <w:numId w:val="1"/>
        </w:numPr>
      </w:pPr>
      <w:r>
        <w:rPr>
          <w:b/>
          <w:bCs/>
        </w:rPr>
        <w:t xml:space="preserve">They moved on process</w:t>
      </w:r>
      <w:r>
        <w:t xml:space="preserve"> — arbitration seat, pay-when-paid, weather events, claims notice. These are low-cost operational concessions.</w:t>
      </w:r>
    </w:p>
    <w:p>
      <w:pPr>
        <w:pStyle w:val="ListParagraph"/>
        <w:numPr>
          <w:ilvl w:val="0"/>
          <w:numId w:val="1"/>
        </w:numPr>
      </w:pPr>
      <w:r>
        <w:rPr>
          <w:b/>
          <w:bCs/>
        </w:rPr>
        <w:t xml:space="preserve">They dug in on liability</w:t>
      </w:r>
      <w:r>
        <w:t xml:space="preserve"> — no cap, no ER relief, absolute performance warranty, concurrent delay bar. </w:t>
      </w:r>
      <w:r>
        <w:rPr>
          <w:b/>
          <w:bCs/>
        </w:rPr>
        <w:t xml:space="preserve">These are the clauses that protect the Employer from claims.</w:t>
      </w:r>
      <w:r>
        <w:t xml:space="preserve"> They are the deal's structural risk allocation, and the Employer is holding the line.</w:t>
      </w:r>
    </w:p>
    <w:p>
      <w:pPr>
        <w:pStyle w:val="ListParagraph"/>
        <w:numPr>
          <w:ilvl w:val="0"/>
          <w:numId w:val="1"/>
        </w:numPr>
      </w:pPr>
      <w:r>
        <w:rPr>
          <w:b/>
          <w:bCs/>
        </w:rPr>
        <w:t xml:space="preserve">They added a new lever</w:t>
      </w:r>
      <w:r>
        <w:t xml:space="preserve"> — the IPC deduction right is a tactical addition that strengthens the Employer's position during the project, and may have been slipped in to offset the concessions above.</w:t>
      </w:r>
    </w:p>
    <w:p>
      <w:pPr>
        <w:pStyle w:val="Heading1"/>
        <w:pBdr>
          <w:bottom w:val="single" w:color="1F6FB2" w:sz="6"/>
        </w:pBdr>
        <w:spacing w:after="120" w:before="240"/>
      </w:pPr>
      <w:r>
        <w:rPr>
          <w:b/>
          <w:bCs/>
          <w:color w:val="0F2E4C"/>
        </w:rPr>
        <w:t xml:space="preserve">5. RECOMMENDATION — GO BACK FOR REV C</w:t>
      </w:r>
    </w:p>
    <w:p>
      <w:pPr>
        <w:spacing w:after="120"/>
      </w:pPr>
      <w:r>
        <w:rPr>
          <w:b/>
          <w:bCs/>
        </w:rPr>
        <w:t xml:space="preserve">Do not sign Rev B.</w:t>
      </w:r>
      <w:r>
        <w:t xml:space="preserve"> The Employer has moved far enough to show they are negotiating in good faith, but not far enough on the three items that pose existential risk to our business. The concessions on money and time are welcome but they address symptoms, not causes — the structural problems remain.</w:t>
      </w:r>
    </w:p>
    <w:p>
      <w:pPr>
        <w:pStyle w:val="Heading1"/>
        <w:pBdr>
          <w:bottom w:val="single" w:color="1F6FB2" w:sz="6"/>
        </w:pBdr>
        <w:spacing w:after="120" w:before="240"/>
      </w:pPr>
      <w:r>
        <w:rPr>
          <w:b/>
          <w:bCs/>
          <w:color w:val="0F2E4C"/>
        </w:rPr>
        <w:t xml:space="preserve">— For Rev C, make the following specific requests:</w:t>
      </w:r>
    </w:p>
    <w:p>
      <w:pPr>
        <w:spacing w:after="120"/>
      </w:pPr>
      <w:r>
        <w:t xml:space="preserve">#### TIER 1 — RED-LINE (we cannot sign without these)</w:t>
      </w:r>
    </w:p>
    <w:p>
      <w:pPr>
        <w:spacing w:after="120"/>
      </w:pPr>
      <w:r>
        <w:rPr>
          <w:b/>
          <w:bCs/>
        </w:rPr>
        <w:t xml:space="preserve">1. Restore a liability cap (SP-3 / 1.15).</w:t>
      </w:r>
      <w:r>
        <w:t xml:space="preserve"> </w:t>
      </w:r>
      <w:r>
        <w:rPr>
          <w:i/>
          <w:iCs/>
        </w:rPr>
        <w:t xml:space="preserve">Ask for:</w:t>
      </w:r>
      <w:r>
        <w:t xml:space="preserve"> A cap at 100% of the Accepted Contract Amount for all claims, with 150% for design liability. This is standard FIDIC, standard in our database, and standard for any design-build contract in Finland.</w:t>
      </w:r>
    </w:p>
    <w:p>
      <w:pPr>
        <w:spacing w:after="120"/>
      </w:pPr>
      <w:r>
        <w:rPr>
          <w:i/>
          <w:iCs/>
        </w:rPr>
        <w:t xml:space="preserve">Fallback if they resist:</w:t>
      </w:r>
      <w:r>
        <w:t xml:space="preserve"> Accept 100% across the board, but indemnify the Employer for third-party death/personal injury without limit (which is already the FIDIC default and required by Finnish law anyway).</w:t>
      </w:r>
    </w:p>
    <w:p>
      <w:pPr>
        <w:spacing w:after="120"/>
      </w:pPr>
      <w:r>
        <w:rPr>
          <w:b/>
          <w:bCs/>
        </w:rPr>
        <w:t xml:space="preserve">2. Amend the performance warranty to reasonable skill and care (SP-6 / 5.1).</w:t>
      </w:r>
      <w:r>
        <w:t xml:space="preserve"> </w:t>
      </w:r>
      <w:r>
        <w:rPr>
          <w:i/>
          <w:iCs/>
        </w:rPr>
        <w:t xml:space="preserve">Ask for:</w:t>
      </w:r>
      <w:r>
        <w:t xml:space="preserve"> Replace "absolute" warranty with "the Contractor shall exercise the reasonable skill, care and diligence to be expected of a properly qualified and experienced contractor undertaking the design and construction of projects of a similar size, scope and complexity." Retain the performance testing framework (L1-L5) but delete the language that removes the skill-and-care qualification.</w:t>
      </w:r>
    </w:p>
    <w:p>
      <w:pPr>
        <w:spacing w:after="120"/>
      </w:pPr>
      <w:r>
        <w:rPr>
          <w:i/>
          <w:iCs/>
        </w:rPr>
        <w:t xml:space="preserve">Fallback if they resist:</w:t>
      </w:r>
      <w:r>
        <w:t xml:space="preserve"> Keep the quantified performance targets but add: (a) an adjustment mechanism for operational variables outside Contractor control (Tenant IT load profile, grid stability, ambient conditions outside design envelope); (b) a commissioning rectification period of 90 days during which performance shortfalls can be corrected without LDs; and (c) a cap on performance LDs separate from the delay LD cap.</w:t>
      </w:r>
    </w:p>
    <w:p>
      <w:pPr>
        <w:spacing w:after="120"/>
      </w:pPr>
      <w:r>
        <w:rPr>
          <w:b/>
          <w:bCs/>
        </w:rPr>
        <w:t xml:space="preserve">3. Restore error relief for the Employer's Requirements (SP-2 / 1.9).</w:t>
      </w:r>
      <w:r>
        <w:t xml:space="preserve"> </w:t>
      </w:r>
      <w:r>
        <w:rPr>
          <w:i/>
          <w:iCs/>
        </w:rPr>
        <w:t xml:space="preserve">Ask for:</w:t>
      </w:r>
      <w:r>
        <w:t xml:space="preserve"> EOT plus cost for correcting any error, omission or ambiguity in the Employer's Requirements or Anchor Tenant Technical Annex that a competent contractor could not reasonably have identified before the Base Date.</w:t>
      </w:r>
    </w:p>
    <w:p>
      <w:pPr>
        <w:spacing w:after="120"/>
      </w:pPr>
      <w:r>
        <w:rPr>
          <w:i/>
          <w:iCs/>
        </w:rPr>
        <w:t xml:space="preserve">Fallback if they resist:</w:t>
      </w:r>
      <w:r>
        <w:t xml:space="preserve"> Accept the deletion of 1.9 but add a schedule to the contract that lists every known ER/Tenant Annex ambiguity and inconsistency the Employer warrants will not give rise to a claim. Anything not on that list is deemed accepted by the Contractor. This puts the onus on the Employer to warrant their own documents at Base Date.</w:t>
      </w:r>
    </w:p>
    <w:p>
      <w:pPr>
        <w:spacing w:after="120"/>
      </w:pPr>
      <w:r>
        <w:t xml:space="preserve">#### TIER 2 — STRONGLY PUSH (we should win these)</w:t>
      </w:r>
    </w:p>
    <w:p>
      <w:pPr>
        <w:spacing w:after="120"/>
      </w:pPr>
      <w:r>
        <w:rPr>
          <w:b/>
          <w:bCs/>
        </w:rPr>
        <w:t xml:space="preserve">4. Remove the concurrent delay bar (SP-7).</w:t>
      </w:r>
      <w:r>
        <w:t xml:space="preserve"> </w:t>
      </w:r>
      <w:r>
        <w:rPr>
          <w:i/>
          <w:iCs/>
        </w:rPr>
        <w:t xml:space="preserve">Ask for:</w:t>
      </w:r>
      <w:r>
        <w:t xml:space="preserve"> Delete SP-7. Restore standard FIDIC 8.5. If a Contractor delay and an Employer-risk delay are truly concurrent, the Contractor gets an EOT (not cost). This is the FIDIC position.</w:t>
      </w:r>
    </w:p>
    <w:p>
      <w:pPr>
        <w:spacing w:after="120"/>
      </w:pPr>
      <w:r>
        <w:rPr>
          <w:i/>
          <w:iCs/>
        </w:rPr>
        <w:t xml:space="preserve">Fallback:</w:t>
      </w:r>
      <w:r>
        <w:t xml:space="preserve"> Accept the bar but only for the period that is genuinely concurrent — apportion the delay period rather than treating the whole period as Contractor-culpable.</w:t>
      </w:r>
    </w:p>
    <w:p>
      <w:pPr>
        <w:spacing w:after="120"/>
      </w:pPr>
      <w:r>
        <w:rPr>
          <w:b/>
          <w:bCs/>
        </w:rPr>
        <w:t xml:space="preserve">5. Remove or limit the new IPC deduction right (SP-12 / 14.6).</w:t>
      </w:r>
      <w:r>
        <w:t xml:space="preserve"> </w:t>
      </w:r>
      <w:r>
        <w:rPr>
          <w:i/>
          <w:iCs/>
        </w:rPr>
        <w:t xml:space="preserve">Ask for:</w:t>
      </w:r>
      <w:r>
        <w:t xml:space="preserve"> Delete the new paragraph. The Employer's right to deduct should be limited to sums that are "due and payable" not sums the Employer "considers may become due."</w:t>
      </w:r>
    </w:p>
    <w:p>
      <w:pPr>
        <w:spacing w:after="120"/>
      </w:pPr>
      <w:r>
        <w:rPr>
          <w:i/>
          <w:iCs/>
        </w:rPr>
        <w:t xml:space="preserve">Fallback:</w:t>
      </w:r>
      <w:r>
        <w:t xml:space="preserve"> Retain the deduction right but cap it at 5% of each IPC value, require 14 days' notice with reasons, and remove the right to deduct for Delay Damages before the TfC has passed.</w:t>
      </w:r>
    </w:p>
    <w:p>
      <w:pPr>
        <w:spacing w:after="120"/>
      </w:pPr>
      <w:r>
        <w:rPr>
          <w:b/>
          <w:bCs/>
        </w:rPr>
        <w:t xml:space="preserve">6. Extend claims notice to 28 days and remove the absolute-bar language (SP-15).</w:t>
      </w:r>
      <w:r>
        <w:t xml:space="preserve"> </w:t>
      </w:r>
      <w:r>
        <w:rPr>
          <w:i/>
          <w:iCs/>
        </w:rPr>
        <w:t xml:space="preserve">Ask for:</w:t>
      </w:r>
      <w:r>
        <w:t xml:space="preserve"> 28 days for notice, detailed particulars within 42 days. Remove "condition precedent" and "time-barred absolutely." Align with YSE 1998 §48.</w:t>
      </w:r>
    </w:p>
    <w:p>
      <w:pPr>
        <w:spacing w:after="120"/>
      </w:pPr>
      <w:r>
        <w:rPr>
          <w:i/>
          <w:iCs/>
        </w:rPr>
        <w:t xml:space="preserve">Fallback:</w:t>
      </w:r>
      <w:r>
        <w:t xml:space="preserve"> 21 days notice plus 28 days for details. Remove "neither the Engineer nor any arbitral tribunal shall have any power to waive, extend or excuse non-compliance" — allow the Engineer discretion to accept late notice where the Employer has not been prejudiced.</w:t>
      </w:r>
    </w:p>
    <w:p>
      <w:pPr>
        <w:spacing w:after="120"/>
      </w:pPr>
      <w:r>
        <w:t xml:space="preserve">#### TIER 3 — NICE TO HAVE (accept their position if needed)</w:t>
      </w:r>
    </w:p>
    <w:p>
      <w:pPr>
        <w:spacing w:after="120"/>
      </w:pPr>
      <w:r>
        <w:rPr>
          <w:b/>
          <w:bCs/>
        </w:rPr>
        <w:t xml:space="preserve">7. Broaden the cost adjustment basket (SP-10):</w:t>
      </w:r>
      <w:r>
        <w:t xml:space="preserve"> Add labour (at least skilled MEP labour) and concrete. Remove or reduce the 5% franchise to 2%.</w:t>
      </w:r>
    </w:p>
    <w:p>
      <w:pPr>
        <w:spacing w:after="120"/>
      </w:pPr>
      <w:r>
        <w:rPr>
          <w:b/>
          <w:bCs/>
        </w:rPr>
        <w:t xml:space="preserve">8. Reduce retention to 5% (SP-13):</w:t>
      </w:r>
      <w:r>
        <w:t xml:space="preserve"> The Employer has moved from 10% to 7.5%. Ask for 5% — our database standard — but accept 7.5% with the bond option if they hold.</w:t>
      </w:r>
    </w:p>
    <w:p>
      <w:pPr>
        <w:spacing w:after="120"/>
      </w:pPr>
      <w:r>
        <w:rPr>
          <w:b/>
          <w:bCs/>
        </w:rPr>
        <w:t xml:space="preserve">9. Reduce the performance security to 5% (4.2):</w:t>
      </w:r>
      <w:r>
        <w:t xml:space="preserve"> 10% on-demand bond on €92.4M is high. 5% still covers mobilisation risk.</w:t>
      </w:r>
    </w:p>
    <w:p>
      <w:pPr>
        <w:spacing w:after="120"/>
      </w:pPr>
      <w:r>
        <w:rPr>
          <w:b/>
          <w:bCs/>
        </w:rPr>
        <w:t xml:space="preserve">10. Raise financing charges to ECB+7% (14.8):</w:t>
      </w:r>
      <w:r>
        <w:t xml:space="preserve"> Align with the Finnish Interest Act statutory rate. This is a cost-free deterrent for the Employer — it only bites if they pay late.</w:t>
      </w:r>
    </w:p>
    <w:p>
      <w:pPr>
        <w:spacing w:after="120"/>
      </w:pPr>
      <w:r>
        <w:t xml:space="preserve">---</w:t>
      </w:r>
    </w:p>
    <w:p>
      <w:pPr>
        <w:pStyle w:val="Heading1"/>
        <w:pBdr>
          <w:bottom w:val="single" w:color="1F6FB2" w:sz="6"/>
        </w:pBdr>
        <w:spacing w:after="120" w:before="240"/>
      </w:pPr>
      <w:r>
        <w:rPr>
          <w:b/>
          <w:bCs/>
          <w:color w:val="0F2E4C"/>
        </w:rPr>
        <w:t xml:space="preserve">6. BOTTOM LINE</w:t>
      </w:r>
    </w:p>
    <w:p>
      <w:pPr>
        <w:spacing w:after="120"/>
      </w:pPr>
      <w:r>
        <w:t xml:space="preserve">---</w:t>
      </w:r>
    </w:p>
    <w:p>
      <w:pPr>
        <w:spacing w:after="120"/>
      </w:pPr>
      <w:r>
        <w:rPr>
          <w:i/>
          <w:iCs/>
        </w:rPr>
        <w:t xml:space="preserve">Analysis grounded in: PDC_PC_001 Rev A (12 January 2026), PDC_PC_001 Rev B (6 February 2026), our historical contracts database (TAM-LOG-2025-005, VAN-HC-2024-004, VAN-MIX-2025-011, HEL-OB-2023-001), PDC_SS_001 Geotechnical Report (October 2025), and our completed clause-level analysis of 52 contract units under Finnish law.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E4C" w:val="clear"/>
          </w:tcPr>
          <w:p>
            <w:pPr>
              <w:jc w:val="left"/>
            </w:pPr>
            <w:r>
              <w:rPr>
                <w:b/>
                <w:bCs/>
                <w:color w:val="FFFFFF"/>
              </w:rPr>
              <w:t xml:space="preserve"/>
            </w:r>
          </w:p>
        </w:tc>
        <w:tc>
          <w:tcPr>
            <w:shd w:fill="0F2E4C" w:val="clear"/>
          </w:tcPr>
          <w:p>
            <w:pPr>
              <w:jc w:val="left"/>
            </w:pPr>
            <w:r>
              <w:rPr>
                <w:b/>
                <w:bCs/>
                <w:color w:val="FFFFFF"/>
              </w:rPr>
              <w:t xml:space="preserve"/>
            </w:r>
          </w:p>
        </w:tc>
      </w:tr>
      <w:tr>
        <w:trPr>
          <w:tblHeader w:val="false"/>
        </w:trPr>
        <w:tc>
          <w:p>
            <w:r>
              <w:rPr>
                <w:b/>
                <w:bCs/>
              </w:rPr>
              <w:t xml:space="preserve">Rev B is</w:t>
            </w:r>
          </w:p>
        </w:tc>
        <w:tc>
          <w:p>
            <w:r>
              <w:t xml:space="preserve">A genuine negotiation response — the Employer moved on 12 of 16 points we raised. They are not stonewalling.</w:t>
            </w:r>
          </w:p>
        </w:tc>
      </w:tr>
      <w:tr>
        <w:trPr>
          <w:tblHeader w:val="false"/>
        </w:trPr>
        <w:tc>
          <w:tcPr>
            <w:shd w:fill="F5F5F5" w:val="clear"/>
          </w:tcPr>
          <w:p>
            <w:r>
              <w:rPr>
                <w:b/>
                <w:bCs/>
              </w:rPr>
              <w:t xml:space="preserve">Rev B is not</w:t>
            </w:r>
          </w:p>
        </w:tc>
        <w:tc>
          <w:tcPr>
            <w:shd w:fill="F5F5F5" w:val="clear"/>
          </w:tcPr>
          <w:p>
            <w:r>
              <w:t xml:space="preserve">A contract we can sign. The three critical structural risks — unlimited liability, absolute performance warranty, and the ER error trap — remain untouched. These are not edge cases; they are the clauses that would be tested first in any serious dispute.</w:t>
            </w:r>
          </w:p>
        </w:tc>
      </w:tr>
      <w:tr>
        <w:trPr>
          <w:tblHeader w:val="false"/>
        </w:trPr>
        <w:tc>
          <w:p>
            <w:r>
              <w:rPr>
                <w:b/>
                <w:bCs/>
              </w:rPr>
              <w:t xml:space="preserve">Our position</w:t>
            </w:r>
          </w:p>
        </w:tc>
        <w:tc>
          <w:p>
            <w:r>
              <w:t xml:space="preserve">Go back for Rev C with the five Tier 1 requests above as our minimum. If the Employer accepts three of the five, we can close the deal. If they reject them all, the deal is not viable on these terms and we walk.</w:t>
            </w:r>
          </w:p>
        </w:tc>
      </w:tr>
      <w:tr>
        <w:trPr>
          <w:tblHeader w:val="false"/>
        </w:trPr>
        <w:tc>
          <w:tcPr>
            <w:shd w:fill="F5F5F5" w:val="clear"/>
          </w:tcPr>
          <w:p>
            <w:r>
              <w:rPr>
                <w:b/>
                <w:bCs/>
              </w:rPr>
              <w:t xml:space="preserve">Timing risk</w:t>
            </w:r>
          </w:p>
        </w:tc>
        <w:tc>
          <w:tcPr>
            <w:shd w:fill="F5F5F5" w:val="clear"/>
          </w:tcPr>
          <w:p>
            <w:r>
              <w:t xml:space="preserve">Rev B was issued 6 February — we have been negotiating for ~3 weeks between our 27 Jan letter and their response. A Rev C round could take another 2-3 weeks. If the Employer has other bidders, this is a factor. But on a €92.4M data centre with these risk exposures, signing the wrong deal is worse than losing the deal.</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C1C1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2026-07-30T23:21:42.332Z</dcterms:created>
  <dcterms:modified xsi:type="dcterms:W3CDTF">2026-07-30T23:21:42.332Z</dcterms:modified>
</cp:coreProperties>
</file>

<file path=docProps/custom.xml><?xml version="1.0" encoding="utf-8"?>
<Properties xmlns="http://schemas.openxmlformats.org/officeDocument/2006/custom-properties" xmlns:vt="http://schemas.openxmlformats.org/officeDocument/2006/docPropsVTypes"/>
</file>