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0F2E4C"/>
        </w:rPr>
        <w:t xml:space="preserve">POLARIS DC-1 — REV C FINAL ASSESSMENT</w:t>
      </w:r>
    </w:p>
    <w:p>
      <w:pPr>
        <w:pStyle w:val="Heading1"/>
        <w:pBdr>
          <w:bottom w:val="single" w:color="1F6FB2" w:sz="6"/>
        </w:pBdr>
        <w:spacing w:after="120" w:before="240"/>
      </w:pPr>
      <w:r>
        <w:rPr>
          <w:b/>
          <w:bCs/>
          <w:color w:val="0F2E4C"/>
        </w:rPr>
        <w:t xml:space="preserve">Comparison: Rev B → Rev C | 24 February 2026</w:t>
      </w:r>
    </w:p>
    <w:p>
      <w:pPr>
        <w:spacing w:after="120"/>
      </w:pPr>
      <w:r>
        <w:rPr>
          <w:b/>
          <w:bCs/>
        </w:rPr>
        <w:t xml:space="preserve">Recommendation: SIGN.</w:t>
      </w:r>
    </w:p>
    <w:p>
      <w:pPr>
        <w:spacing w:after="120"/>
      </w:pPr>
      <w:r>
        <w:t xml:space="preserve">---</w:t>
      </w:r>
    </w:p>
    <w:p>
      <w:pPr>
        <w:pStyle w:val="Heading1"/>
        <w:pBdr>
          <w:bottom w:val="single" w:color="1F6FB2" w:sz="6"/>
        </w:pBdr>
        <w:spacing w:after="120" w:before="240"/>
      </w:pPr>
      <w:r>
        <w:rPr>
          <w:b/>
          <w:bCs/>
          <w:color w:val="0F2E4C"/>
        </w:rPr>
        <w:t xml:space="preserve">1. REV B → REV C — WHAT CHANGED</w:t>
      </w:r>
    </w:p>
    <w:p>
      <w:pPr>
        <w:pStyle w:val="Heading1"/>
        <w:pBdr>
          <w:bottom w:val="single" w:color="1F6FB2" w:sz="6"/>
        </w:pBdr>
        <w:spacing w:after="120" w:before="240"/>
      </w:pPr>
      <w:r>
        <w:rPr>
          <w:b/>
          <w:bCs/>
          <w:color w:val="0F2E4C"/>
        </w:rPr>
        <w:t xml:space="preserve">— Critical Items (all three resolved)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E4C" w:val="clear"/>
          </w:tcPr>
          <w:p>
            <w:pPr>
              <w:jc w:val="left"/>
            </w:pPr>
            <w:r>
              <w:rPr>
                <w:b/>
                <w:bCs/>
                <w:color w:val="FFFFFF"/>
              </w:rPr>
              <w:t xml:space="preserve">#</w:t>
            </w:r>
          </w:p>
        </w:tc>
        <w:tc>
          <w:tcPr>
            <w:shd w:fill="0F2E4C" w:val="clear"/>
          </w:tcPr>
          <w:p>
            <w:pPr>
              <w:jc w:val="left"/>
            </w:pPr>
            <w:r>
              <w:rPr>
                <w:b/>
                <w:bCs/>
                <w:color w:val="FFFFFF"/>
              </w:rPr>
              <w:t xml:space="preserve">Ask (Rev B recommendation)</w:t>
            </w:r>
          </w:p>
        </w:tc>
        <w:tc>
          <w:tcPr>
            <w:shd w:fill="0F2E4C" w:val="clear"/>
          </w:tcPr>
          <w:p>
            <w:pPr>
              <w:jc w:val="left"/>
            </w:pPr>
            <w:r>
              <w:rPr>
                <w:b/>
                <w:bCs/>
                <w:color w:val="FFFFFF"/>
              </w:rPr>
              <w:t xml:space="preserve">Rev C response</w:t>
            </w:r>
          </w:p>
        </w:tc>
        <w:tc>
          <w:tcPr>
            <w:shd w:fill="0F2E4C" w:val="clear"/>
          </w:tcPr>
          <w:p>
            <w:pPr>
              <w:jc w:val="left"/>
            </w:pPr>
            <w:r>
              <w:rPr>
                <w:b/>
                <w:bCs/>
                <w:color w:val="FFFFFF"/>
              </w:rPr>
              <w:t xml:space="preserve">Verdict</w:t>
            </w:r>
          </w:p>
        </w:tc>
      </w:tr>
      <w:tr>
        <w:trPr>
          <w:tblHeader w:val="false"/>
        </w:trPr>
        <w:tc>
          <w:p>
            <w:r>
              <w:t xml:space="preserve">1</w:t>
            </w:r>
          </w:p>
        </w:tc>
        <w:tc>
          <w:p>
            <w:r>
              <w:t xml:space="preserve">Restore liability cap</w:t>
            </w:r>
          </w:p>
        </w:tc>
        <w:tc>
          <w:p>
            <w:r>
              <w:t xml:space="preserve">Sub-Clause 1.15 reinstated. Cap at Accepted Contract Amount (€92.4M). Carve-outs: death/PI, fraud, wilful misconduct, abandonment, insurance proceeds</w:t>
            </w:r>
          </w:p>
        </w:tc>
        <w:tc>
          <w:p>
            <w:r>
              <w:rPr>
                <w:b/>
                <w:bCs/>
              </w:rPr>
              <w:t xml:space="preserve">ACCEPTED</w:t>
            </w:r>
          </w:p>
        </w:tc>
      </w:tr>
      <w:tr>
        <w:trPr>
          <w:tblHeader w:val="false"/>
        </w:trPr>
        <w:tc>
          <w:tcPr>
            <w:shd w:fill="F5F5F5" w:val="clear"/>
          </w:tcPr>
          <w:p>
            <w:r>
              <w:t xml:space="preserve">2</w:t>
            </w:r>
          </w:p>
        </w:tc>
        <w:tc>
          <w:tcPr>
            <w:shd w:fill="F5F5F5" w:val="clear"/>
          </w:tcPr>
          <w:p>
            <w:r>
              <w:t xml:space="preserve">Amend performance warranty to reasonable skill &amp; care</w:t>
            </w:r>
          </w:p>
        </w:tc>
        <w:tc>
          <w:tcPr>
            <w:shd w:fill="F5F5F5" w:val="clear"/>
          </w:tcPr>
          <w:p>
            <w:r>
              <w:t xml:space="preserve">RSC restored. PUE ≤1.25, WUE ≤0.25, 99.982% availability, 4MWth waste heat targets retained as performance guarantees — but measured against professional skill &amp; care standard, not absolute</w:t>
            </w:r>
          </w:p>
        </w:tc>
        <w:tc>
          <w:tcPr>
            <w:shd w:fill="F5F5F5" w:val="clear"/>
          </w:tcPr>
          <w:p>
            <w:r>
              <w:rPr>
                <w:b/>
                <w:bCs/>
              </w:rPr>
              <w:t xml:space="preserve">ACCEPTED</w:t>
            </w:r>
          </w:p>
        </w:tc>
      </w:tr>
      <w:tr>
        <w:trPr>
          <w:tblHeader w:val="false"/>
        </w:trPr>
        <w:tc>
          <w:p>
            <w:r>
              <w:t xml:space="preserve">3</w:t>
            </w:r>
          </w:p>
        </w:tc>
        <w:tc>
          <w:p>
            <w:r>
              <w:t xml:space="preserve">Restore error relief for Employer's Requirements</w:t>
            </w:r>
          </w:p>
        </w:tc>
        <w:tc>
          <w:p>
            <w:r>
              <w:t xml:space="preserve">Sub-Clause 1.9 reinstated in full and unamended. ER and Tenant Technical Annex errors now at Employer risk</w:t>
            </w:r>
          </w:p>
        </w:tc>
        <w:tc>
          <w:p>
            <w:r>
              <w:rPr>
                <w:b/>
                <w:bCs/>
              </w:rPr>
              <w:t xml:space="preserve">ACCEPTED</w:t>
            </w:r>
          </w:p>
        </w:tc>
      </w:tr>
    </w:tbl>
    <w:p/>
    <w:p>
      <w:pPr>
        <w:pStyle w:val="Heading1"/>
        <w:pBdr>
          <w:bottom w:val="single" w:color="1F6FB2" w:sz="6"/>
        </w:pBdr>
        <w:spacing w:after="120" w:before="240"/>
      </w:pPr>
      <w:r>
        <w:rPr>
          <w:b/>
          <w:bCs/>
          <w:color w:val="0F2E4C"/>
        </w:rPr>
        <w:t xml:space="preserve">— Strong Push Items (all three resolved)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E4C" w:val="clear"/>
          </w:tcPr>
          <w:p>
            <w:pPr>
              <w:jc w:val="left"/>
            </w:pPr>
            <w:r>
              <w:rPr>
                <w:b/>
                <w:bCs/>
                <w:color w:val="FFFFFF"/>
              </w:rPr>
              <w:t xml:space="preserve">#</w:t>
            </w:r>
          </w:p>
        </w:tc>
        <w:tc>
          <w:tcPr>
            <w:shd w:fill="0F2E4C" w:val="clear"/>
          </w:tcPr>
          <w:p>
            <w:pPr>
              <w:jc w:val="left"/>
            </w:pPr>
            <w:r>
              <w:rPr>
                <w:b/>
                <w:bCs/>
                <w:color w:val="FFFFFF"/>
              </w:rPr>
              <w:t xml:space="preserve">Ask</w:t>
            </w:r>
          </w:p>
        </w:tc>
        <w:tc>
          <w:tcPr>
            <w:shd w:fill="0F2E4C" w:val="clear"/>
          </w:tcPr>
          <w:p>
            <w:pPr>
              <w:jc w:val="left"/>
            </w:pPr>
            <w:r>
              <w:rPr>
                <w:b/>
                <w:bCs/>
                <w:color w:val="FFFFFF"/>
              </w:rPr>
              <w:t xml:space="preserve">Rev C response</w:t>
            </w:r>
          </w:p>
        </w:tc>
        <w:tc>
          <w:tcPr>
            <w:shd w:fill="0F2E4C" w:val="clear"/>
          </w:tcPr>
          <w:p>
            <w:pPr>
              <w:jc w:val="left"/>
            </w:pPr>
            <w:r>
              <w:rPr>
                <w:b/>
                <w:bCs/>
                <w:color w:val="FFFFFF"/>
              </w:rPr>
              <w:t xml:space="preserve">Verdict</w:t>
            </w:r>
          </w:p>
        </w:tc>
      </w:tr>
      <w:tr>
        <w:trPr>
          <w:tblHeader w:val="false"/>
        </w:trPr>
        <w:tc>
          <w:p>
            <w:r>
              <w:t xml:space="preserve">4</w:t>
            </w:r>
          </w:p>
        </w:tc>
        <w:tc>
          <w:p>
            <w:r>
              <w:t xml:space="preserve">Remove concurrent delay bar</w:t>
            </w:r>
          </w:p>
        </w:tc>
        <w:tc>
          <w:p>
            <w:r>
              <w:t xml:space="preserve">SP-7 bar deleted. Engineer must apportion delay fairly between concurrent causes on basis of contemporary records</w:t>
            </w:r>
          </w:p>
        </w:tc>
        <w:tc>
          <w:p>
            <w:r>
              <w:rPr>
                <w:b/>
                <w:bCs/>
              </w:rPr>
              <w:t xml:space="preserve">ACCEPTED</w:t>
            </w:r>
          </w:p>
        </w:tc>
      </w:tr>
      <w:tr>
        <w:trPr>
          <w:tblHeader w:val="false"/>
        </w:trPr>
        <w:tc>
          <w:tcPr>
            <w:shd w:fill="F5F5F5" w:val="clear"/>
          </w:tcPr>
          <w:p>
            <w:r>
              <w:t xml:space="preserve">5</w:t>
            </w:r>
          </w:p>
        </w:tc>
        <w:tc>
          <w:tcPr>
            <w:shd w:fill="F5F5F5" w:val="clear"/>
          </w:tcPr>
          <w:p>
            <w:r>
              <w:t xml:space="preserve">Remove/limit IPC deduction right</w:t>
            </w:r>
          </w:p>
        </w:tc>
        <w:tc>
          <w:tcPr>
            <w:shd w:fill="F5F5F5" w:val="clear"/>
          </w:tcPr>
          <w:p>
            <w:r>
              <w:t xml:space="preserve">Employer deduction limited to Delay Damages that have actually accrued and been agreed or determined. No deduction for anticipated future LDs</w:t>
            </w:r>
          </w:p>
        </w:tc>
        <w:tc>
          <w:tcPr>
            <w:shd w:fill="F5F5F5" w:val="clear"/>
          </w:tcPr>
          <w:p>
            <w:r>
              <w:rPr>
                <w:b/>
                <w:bCs/>
              </w:rPr>
              <w:t xml:space="preserve">ACCEPTED</w:t>
            </w:r>
          </w:p>
        </w:tc>
      </w:tr>
      <w:tr>
        <w:trPr>
          <w:tblHeader w:val="false"/>
        </w:trPr>
        <w:tc>
          <w:p>
            <w:r>
              <w:t xml:space="preserve">6</w:t>
            </w:r>
          </w:p>
        </w:tc>
        <w:tc>
          <w:p>
            <w:r>
              <w:t xml:space="preserve">Extend claims notice, remove absolute bar</w:t>
            </w:r>
          </w:p>
        </w:tc>
        <w:tc>
          <w:p>
            <w:r>
              <w:t xml:space="preserve">Sub-Clause 20.2.1 restored in full (28 days). Sub-Clause 20.2.2 includes Engineer's obligation to notify non-compliance and consequences of failing to do so</w:t>
            </w:r>
          </w:p>
        </w:tc>
        <w:tc>
          <w:p>
            <w:r>
              <w:rPr>
                <w:b/>
                <w:bCs/>
              </w:rPr>
              <w:t xml:space="preserve">ACCEPTED</w:t>
            </w:r>
          </w:p>
        </w:tc>
      </w:tr>
    </w:tbl>
    <w:p/>
    <w:p>
      <w:pPr>
        <w:pStyle w:val="Heading1"/>
        <w:pBdr>
          <w:bottom w:val="single" w:color="1F6FB2" w:sz="6"/>
        </w:pBdr>
        <w:spacing w:after="120" w:before="240"/>
      </w:pPr>
      <w:r>
        <w:rPr>
          <w:b/>
          <w:bCs/>
          <w:color w:val="0F2E4C"/>
        </w:rPr>
        <w:t xml:space="preserve">— Nice-to-Have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E4C" w:val="clear"/>
          </w:tcPr>
          <w:p>
            <w:pPr>
              <w:jc w:val="left"/>
            </w:pPr>
            <w:r>
              <w:rPr>
                <w:b/>
                <w:bCs/>
                <w:color w:val="FFFFFF"/>
              </w:rPr>
              <w:t xml:space="preserve">#</w:t>
            </w:r>
          </w:p>
        </w:tc>
        <w:tc>
          <w:tcPr>
            <w:shd w:fill="0F2E4C" w:val="clear"/>
          </w:tcPr>
          <w:p>
            <w:pPr>
              <w:jc w:val="left"/>
            </w:pPr>
            <w:r>
              <w:rPr>
                <w:b/>
                <w:bCs/>
                <w:color w:val="FFFFFF"/>
              </w:rPr>
              <w:t xml:space="preserve">Ask</w:t>
            </w:r>
          </w:p>
        </w:tc>
        <w:tc>
          <w:tcPr>
            <w:shd w:fill="0F2E4C" w:val="clear"/>
          </w:tcPr>
          <w:p>
            <w:pPr>
              <w:jc w:val="left"/>
            </w:pPr>
            <w:r>
              <w:rPr>
                <w:b/>
                <w:bCs/>
                <w:color w:val="FFFFFF"/>
              </w:rPr>
              <w:t xml:space="preserve">Rev C response</w:t>
            </w:r>
          </w:p>
        </w:tc>
        <w:tc>
          <w:tcPr>
            <w:shd w:fill="0F2E4C" w:val="clear"/>
          </w:tcPr>
          <w:p>
            <w:pPr>
              <w:jc w:val="left"/>
            </w:pPr>
            <w:r>
              <w:rPr>
                <w:b/>
                <w:bCs/>
                <w:color w:val="FFFFFF"/>
              </w:rPr>
              <w:t xml:space="preserve">Verdict</w:t>
            </w:r>
          </w:p>
        </w:tc>
      </w:tr>
      <w:tr>
        <w:trPr>
          <w:tblHeader w:val="false"/>
        </w:trPr>
        <w:tc>
          <w:p>
            <w:r>
              <w:t xml:space="preserve">7</w:t>
            </w:r>
          </w:p>
        </w:tc>
        <w:tc>
          <w:p>
            <w:r>
              <w:t xml:space="preserve">Broader cost adjustment, lower franchise</w:t>
            </w:r>
          </w:p>
        </w:tc>
        <w:tc>
          <w:p>
            <w:r>
              <w:t xml:space="preserve">Labour added (steel/copper/diesel/labour basket). Franchise reduced 5%→2%</w:t>
            </w:r>
          </w:p>
        </w:tc>
        <w:tc>
          <w:p>
            <w:r>
              <w:t xml:space="preserve">Accepted in part</w:t>
            </w:r>
          </w:p>
        </w:tc>
      </w:tr>
      <w:tr>
        <w:trPr>
          <w:tblHeader w:val="false"/>
        </w:trPr>
        <w:tc>
          <w:tcPr>
            <w:shd w:fill="F5F5F5" w:val="clear"/>
          </w:tcPr>
          <w:p>
            <w:r>
              <w:t xml:space="preserve">8</w:t>
            </w:r>
          </w:p>
        </w:tc>
        <w:tc>
          <w:tcPr>
            <w:shd w:fill="F5F5F5" w:val="clear"/>
          </w:tcPr>
          <w:p>
            <w:r>
              <w:t xml:space="preserve">Reduce retention to 5%</w:t>
            </w:r>
          </w:p>
        </w:tc>
        <w:tc>
          <w:tcPr>
            <w:shd w:fill="F5F5F5" w:val="clear"/>
          </w:tcPr>
          <w:p>
            <w:r>
              <w:t xml:space="preserve">5% retention. Bond option from outset. Half released at S1 TOC, remainder at S4 TOC</w:t>
            </w:r>
          </w:p>
        </w:tc>
        <w:tc>
          <w:tcPr>
            <w:shd w:fill="F5F5F5" w:val="clear"/>
          </w:tcPr>
          <w:p>
            <w:r>
              <w:rPr>
                <w:b/>
                <w:bCs/>
              </w:rPr>
              <w:t xml:space="preserve">ACCEPTED — exceeds ask</w:t>
            </w:r>
          </w:p>
        </w:tc>
      </w:tr>
      <w:tr>
        <w:trPr>
          <w:tblHeader w:val="false"/>
        </w:trPr>
        <w:tc>
          <w:p>
            <w:r>
              <w:t xml:space="preserve">9</w:t>
            </w:r>
          </w:p>
        </w:tc>
        <w:tc>
          <w:p>
            <w:r>
              <w:t xml:space="preserve">Reduce performance security to 5%</w:t>
            </w:r>
          </w:p>
        </w:tc>
        <w:tc>
          <w:p>
            <w:r>
              <w:t xml:space="preserve">Unchanged at 10% on-demand</w:t>
            </w:r>
          </w:p>
        </w:tc>
        <w:tc>
          <w:p>
            <w:r>
              <w:t xml:space="preserve">Not accepted</w:t>
            </w:r>
          </w:p>
        </w:tc>
      </w:tr>
      <w:tr>
        <w:trPr>
          <w:tblHeader w:val="false"/>
        </w:trPr>
        <w:tc>
          <w:tcPr>
            <w:shd w:fill="F5F5F5" w:val="clear"/>
          </w:tcPr>
          <w:p>
            <w:r>
              <w:t xml:space="preserve">10</w:t>
            </w:r>
          </w:p>
        </w:tc>
        <w:tc>
          <w:tcPr>
            <w:shd w:fill="F5F5F5" w:val="clear"/>
          </w:tcPr>
          <w:p>
            <w:r>
              <w:t xml:space="preserve">Financing charges to ECB+7%</w:t>
            </w:r>
          </w:p>
        </w:tc>
        <w:tc>
          <w:tcPr>
            <w:shd w:fill="F5F5F5" w:val="clear"/>
          </w:tcPr>
          <w:p>
            <w:r>
              <w:t xml:space="preserve">Unchanged at ECB+2%</w:t>
            </w:r>
          </w:p>
        </w:tc>
        <w:tc>
          <w:tcPr>
            <w:shd w:fill="F5F5F5" w:val="clear"/>
          </w:tcPr>
          <w:p>
            <w:r>
              <w:t xml:space="preserve">Not accepted</w:t>
            </w:r>
          </w:p>
        </w:tc>
      </w:tr>
    </w:tbl>
    <w:p/>
    <w:p>
      <w:pPr>
        <w:pStyle w:val="Heading1"/>
        <w:pBdr>
          <w:bottom w:val="single" w:color="1F6FB2" w:sz="6"/>
        </w:pBdr>
        <w:spacing w:after="120" w:before="240"/>
      </w:pPr>
      <w:r>
        <w:rPr>
          <w:b/>
          <w:bCs/>
          <w:color w:val="0F2E4C"/>
        </w:rPr>
        <w:t xml:space="preserve">— Unasked-for Concessions</w:t>
      </w:r>
    </w:p>
    <w:p>
      <w:pPr>
        <w:pStyle w:val="ListParagraph"/>
        <w:numPr>
          <w:ilvl w:val="0"/>
          <w:numId w:val="1"/>
        </w:numPr>
      </w:pPr>
      <w:r>
        <w:t xml:space="preserve">Advance payment: 5% → </w:t>
      </w:r>
      <w:r>
        <w:rPr>
          <w:b/>
          <w:bCs/>
        </w:rPr>
        <w:t xml:space="preserve">10%</w:t>
      </w:r>
    </w:p>
    <w:p>
      <w:pPr>
        <w:pStyle w:val="ListParagraph"/>
        <w:numPr>
          <w:ilvl w:val="0"/>
          <w:numId w:val="1"/>
        </w:numPr>
      </w:pPr>
      <w:r>
        <w:t xml:space="preserve">LD cap: 12% → </w:t>
      </w:r>
      <w:r>
        <w:rPr>
          <w:b/>
          <w:bCs/>
        </w:rPr>
        <w:t xml:space="preserve">10%</w:t>
      </w:r>
    </w:p>
    <w:p>
      <w:pPr>
        <w:pStyle w:val="ListParagraph"/>
        <w:numPr>
          <w:ilvl w:val="0"/>
          <w:numId w:val="1"/>
        </w:numPr>
      </w:pPr>
      <w:r>
        <w:t xml:space="preserve">Subcontractor payment: 45 days → </w:t>
      </w:r>
      <w:r>
        <w:rPr>
          <w:b/>
          <w:bCs/>
        </w:rPr>
        <w:t xml:space="preserve">30 days</w:t>
      </w:r>
    </w:p>
    <w:p>
      <w:pPr>
        <w:pStyle w:val="ListParagraph"/>
        <w:numPr>
          <w:ilvl w:val="0"/>
          <w:numId w:val="1"/>
        </w:numPr>
      </w:pPr>
      <w:r>
        <w:t xml:space="preserve">Ground risk (SP-5): time-only EOT → </w:t>
      </w:r>
      <w:r>
        <w:rPr>
          <w:b/>
          <w:bCs/>
        </w:rPr>
        <w:t xml:space="preserve">full 4.12 reinstated (time + cost)</w:t>
      </w:r>
    </w:p>
    <w:p>
      <w:pPr>
        <w:pStyle w:val="ListParagraph"/>
        <w:numPr>
          <w:ilvl w:val="0"/>
          <w:numId w:val="1"/>
        </w:numPr>
      </w:pPr>
      <w:r>
        <w:t xml:space="preserve">Exceptional Events (SP-14): limited list → </w:t>
      </w:r>
      <w:r>
        <w:rPr>
          <w:b/>
          <w:bCs/>
        </w:rPr>
        <w:t xml:space="preserve">Sub-Clause 18.1 reinstated in full</w:t>
      </w:r>
    </w:p>
    <w:p>
      <w:pPr>
        <w:pStyle w:val="ListParagraph"/>
        <w:numPr>
          <w:ilvl w:val="0"/>
          <w:numId w:val="1"/>
        </w:numPr>
      </w:pPr>
      <w:r>
        <w:t xml:space="preserve">Variation work (SP-9): must proceed immediately but Engineer must interim-valuate within 28 days and certify</w:t>
      </w:r>
    </w:p>
    <w:p>
      <w:pPr>
        <w:pStyle w:val="Heading1"/>
        <w:pBdr>
          <w:bottom w:val="single" w:color="1F6FB2" w:sz="6"/>
        </w:pBdr>
        <w:spacing w:after="120" w:before="240"/>
      </w:pPr>
      <w:r>
        <w:rPr>
          <w:b/>
          <w:bCs/>
          <w:color w:val="0F2E4C"/>
        </w:rPr>
        <w:t xml:space="preserve">— Sole Gap — Knowingly Accepted</w:t>
      </w:r>
    </w:p>
    <w:p>
      <w:pPr>
        <w:spacing w:after="120"/>
      </w:pPr>
      <w:r>
        <w:t xml:space="preserve">---</w:t>
      </w:r>
    </w:p>
    <w:p>
      <w:pPr>
        <w:pStyle w:val="ListParagraph"/>
        <w:numPr>
          <w:ilvl w:val="0"/>
          <w:numId w:val="1"/>
        </w:numPr>
      </w:pPr>
      <w:r>
        <w:rPr>
          <w:b/>
          <w:bCs/>
        </w:rPr>
        <w:t xml:space="preserve">DAAB (SP-16):</w:t>
      </w:r>
      <w:r>
        <w:t xml:space="preserve"> remains deleted. Contractor letter NB-PDC-031 explicitly accepts as "knowingly accepted residual risk." For a 22-month programme with Finnish Chamber of Commerce arbitration in Helsinki, a standing board is disproportionate.</w:t>
      </w:r>
    </w:p>
    <w:p>
      <w:pPr>
        <w:pStyle w:val="Heading1"/>
        <w:pBdr>
          <w:bottom w:val="single" w:color="1F6FB2" w:sz="6"/>
        </w:pBdr>
        <w:spacing w:after="120" w:before="240"/>
      </w:pPr>
      <w:r>
        <w:rPr>
          <w:b/>
          <w:bCs/>
          <w:color w:val="0F2E4C"/>
        </w:rPr>
        <w:t xml:space="preserve">2. COMMERCIAL JOURNEY — REV A → REV B → REV C</w:t>
      </w:r>
    </w:p>
    <w:p>
      <w:pPr>
        <w:spacing w:after="12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F2E4C" w:val="clear"/>
          </w:tcPr>
          <w:p>
            <w:pPr>
              <w:jc w:val="left"/>
            </w:pPr>
            <w:r>
              <w:rPr>
                <w:b/>
                <w:bCs/>
                <w:color w:val="FFFFFF"/>
              </w:rPr>
              <w:t xml:space="preserve">Metric</w:t>
            </w:r>
          </w:p>
        </w:tc>
        <w:tc>
          <w:tcPr>
            <w:shd w:fill="0F2E4C" w:val="clear"/>
          </w:tcPr>
          <w:p>
            <w:pPr>
              <w:jc w:val="left"/>
            </w:pPr>
            <w:r>
              <w:rPr>
                <w:b/>
                <w:bCs/>
                <w:color w:val="FFFFFF"/>
              </w:rPr>
              <w:t xml:space="preserve">Rev A</w:t>
            </w:r>
          </w:p>
        </w:tc>
        <w:tc>
          <w:tcPr>
            <w:shd w:fill="0F2E4C" w:val="clear"/>
          </w:tcPr>
          <w:p>
            <w:pPr>
              <w:jc w:val="left"/>
            </w:pPr>
            <w:r>
              <w:rPr>
                <w:b/>
                <w:bCs/>
                <w:color w:val="FFFFFF"/>
              </w:rPr>
              <w:t xml:space="preserve">Rev B</w:t>
            </w:r>
          </w:p>
        </w:tc>
        <w:tc>
          <w:tcPr>
            <w:shd w:fill="0F2E4C" w:val="clear"/>
          </w:tcPr>
          <w:p>
            <w:pPr>
              <w:jc w:val="left"/>
            </w:pPr>
            <w:r>
              <w:rPr>
                <w:b/>
                <w:bCs/>
                <w:color w:val="FFFFFF"/>
              </w:rPr>
              <w:t xml:space="preserve">Rev C</w:t>
            </w:r>
          </w:p>
        </w:tc>
      </w:tr>
      <w:tr>
        <w:trPr>
          <w:tblHeader w:val="false"/>
        </w:trPr>
        <w:tc>
          <w:p>
            <w:r>
              <w:t xml:space="preserve">Liability cap</w:t>
            </w:r>
          </w:p>
        </w:tc>
        <w:tc>
          <w:p>
            <w:r>
              <w:t xml:space="preserve">None</w:t>
            </w:r>
          </w:p>
        </w:tc>
        <w:tc>
          <w:p>
            <w:r>
              <w:t xml:space="preserve">None</w:t>
            </w:r>
          </w:p>
        </w:tc>
        <w:tc>
          <w:p>
            <w:r>
              <w:rPr>
                <w:b/>
                <w:bCs/>
              </w:rPr>
              <w:t xml:space="preserve">€92.4M</w:t>
            </w:r>
          </w:p>
        </w:tc>
      </w:tr>
      <w:tr>
        <w:trPr>
          <w:tblHeader w:val="false"/>
        </w:trPr>
        <w:tc>
          <w:tcPr>
            <w:shd w:fill="F5F5F5" w:val="clear"/>
          </w:tcPr>
          <w:p>
            <w:r>
              <w:t xml:space="preserve">Advance payment</w:t>
            </w:r>
          </w:p>
        </w:tc>
        <w:tc>
          <w:tcPr>
            <w:shd w:fill="F5F5F5" w:val="clear"/>
          </w:tcPr>
          <w:p>
            <w:r>
              <w:t xml:space="preserve">€0</w:t>
            </w:r>
          </w:p>
        </w:tc>
        <w:tc>
          <w:tcPr>
            <w:shd w:fill="F5F5F5" w:val="clear"/>
          </w:tcPr>
          <w:p>
            <w:r>
              <w:t xml:space="preserve">€4.62M</w:t>
            </w:r>
          </w:p>
        </w:tc>
        <w:tc>
          <w:tcPr>
            <w:shd w:fill="F5F5F5" w:val="clear"/>
          </w:tcPr>
          <w:p>
            <w:r>
              <w:rPr>
                <w:b/>
                <w:bCs/>
              </w:rPr>
              <w:t xml:space="preserve">€9.24M</w:t>
            </w:r>
          </w:p>
        </w:tc>
      </w:tr>
      <w:tr>
        <w:trPr>
          <w:tblHeader w:val="false"/>
        </w:trPr>
        <w:tc>
          <w:p>
            <w:r>
              <w:t xml:space="preserve">Retention</w:t>
            </w:r>
          </w:p>
        </w:tc>
        <w:tc>
          <w:p>
            <w:r>
              <w:t xml:space="preserve">10%, all at PC, no bond</w:t>
            </w:r>
          </w:p>
        </w:tc>
        <w:tc>
          <w:p>
            <w:r>
              <w:t xml:space="preserve">7.5%, half at S4 TOC, bond from S1</w:t>
            </w:r>
          </w:p>
        </w:tc>
        <w:tc>
          <w:p>
            <w:r>
              <w:rPr>
                <w:b/>
                <w:bCs/>
              </w:rPr>
              <w:t xml:space="preserve">5%, half at S1, bond from Day 1</w:t>
            </w:r>
          </w:p>
        </w:tc>
      </w:tr>
      <w:tr>
        <w:trPr>
          <w:tblHeader w:val="false"/>
        </w:trPr>
        <w:tc>
          <w:tcPr>
            <w:shd w:fill="F5F5F5" w:val="clear"/>
          </w:tcPr>
          <w:p>
            <w:r>
              <w:t xml:space="preserve">LD cap</w:t>
            </w:r>
          </w:p>
        </w:tc>
        <w:tc>
          <w:tcPr>
            <w:shd w:fill="F5F5F5" w:val="clear"/>
          </w:tcPr>
          <w:p>
            <w:r>
              <w:t xml:space="preserve">20% (€18.5M)</w:t>
            </w:r>
          </w:p>
        </w:tc>
        <w:tc>
          <w:tcPr>
            <w:shd w:fill="F5F5F5" w:val="clear"/>
          </w:tcPr>
          <w:p>
            <w:r>
              <w:t xml:space="preserve">12% (€11.1M)</w:t>
            </w:r>
          </w:p>
        </w:tc>
        <w:tc>
          <w:tcPr>
            <w:shd w:fill="F5F5F5" w:val="clear"/>
          </w:tcPr>
          <w:p>
            <w:r>
              <w:rPr>
                <w:b/>
                <w:bCs/>
              </w:rPr>
              <w:t xml:space="preserve">10% (€9.24M)</w:t>
            </w:r>
          </w:p>
        </w:tc>
      </w:tr>
      <w:tr>
        <w:trPr>
          <w:tblHeader w:val="false"/>
        </w:trPr>
        <w:tc>
          <w:p>
            <w:r>
              <w:t xml:space="preserve">DNP</w:t>
            </w:r>
          </w:p>
        </w:tc>
        <w:tc>
          <w:p>
            <w:r>
              <w:t xml:space="preserve">36 months</w:t>
            </w:r>
          </w:p>
        </w:tc>
        <w:tc>
          <w:p>
            <w:r>
              <w:t xml:space="preserve">24 months</w:t>
            </w:r>
          </w:p>
        </w:tc>
        <w:tc>
          <w:p>
            <w:r>
              <w:rPr>
                <w:b/>
                <w:bCs/>
              </w:rPr>
              <w:t xml:space="preserve">24 months</w:t>
            </w:r>
          </w:p>
        </w:tc>
      </w:tr>
      <w:tr>
        <w:trPr>
          <w:tblHeader w:val="false"/>
        </w:trPr>
        <w:tc>
          <w:tcPr>
            <w:shd w:fill="F5F5F5" w:val="clear"/>
          </w:tcPr>
          <w:p>
            <w:r>
              <w:t xml:space="preserve">ER errors</w:t>
            </w:r>
          </w:p>
        </w:tc>
        <w:tc>
          <w:tcPr>
            <w:shd w:fill="F5F5F5" w:val="clear"/>
          </w:tcPr>
          <w:p>
            <w:r>
              <w:t xml:space="preserve">Contractor</w:t>
            </w:r>
          </w:p>
        </w:tc>
        <w:tc>
          <w:tcPr>
            <w:shd w:fill="F5F5F5" w:val="clear"/>
          </w:tcPr>
          <w:p>
            <w:r>
              <w:t xml:space="preserve">Contractor</w:t>
            </w:r>
          </w:p>
        </w:tc>
        <w:tc>
          <w:tcPr>
            <w:shd w:fill="F5F5F5" w:val="clear"/>
          </w:tcPr>
          <w:p>
            <w:r>
              <w:rPr>
                <w:b/>
                <w:bCs/>
              </w:rPr>
              <w:t xml:space="preserve">Employer</w:t>
            </w:r>
          </w:p>
        </w:tc>
      </w:tr>
      <w:tr>
        <w:trPr>
          <w:tblHeader w:val="false"/>
        </w:trPr>
        <w:tc>
          <w:p>
            <w:r>
              <w:t xml:space="preserve">Design warranty</w:t>
            </w:r>
          </w:p>
        </w:tc>
        <w:tc>
          <w:p>
            <w:r>
              <w:t xml:space="preserve">Absolute</w:t>
            </w:r>
          </w:p>
        </w:tc>
        <w:tc>
          <w:p>
            <w:r>
              <w:t xml:space="preserve">Absolute</w:t>
            </w:r>
          </w:p>
        </w:tc>
        <w:tc>
          <w:p>
            <w:r>
              <w:rPr>
                <w:b/>
                <w:bCs/>
              </w:rPr>
              <w:t xml:space="preserve">Reasonable skill &amp; care</w:t>
            </w:r>
          </w:p>
        </w:tc>
      </w:tr>
      <w:tr>
        <w:trPr>
          <w:tblHeader w:val="false"/>
        </w:trPr>
        <w:tc>
          <w:tcPr>
            <w:shd w:fill="F5F5F5" w:val="clear"/>
          </w:tcPr>
          <w:p>
            <w:r>
              <w:t xml:space="preserve">Claims notice</w:t>
            </w:r>
          </w:p>
        </w:tc>
        <w:tc>
          <w:tcPr>
            <w:shd w:fill="F5F5F5" w:val="clear"/>
          </w:tcPr>
          <w:p>
            <w:r>
              <w:t xml:space="preserve">14d, absolute bar</w:t>
            </w:r>
          </w:p>
        </w:tc>
        <w:tc>
          <w:tcPr>
            <w:shd w:fill="F5F5F5" w:val="clear"/>
          </w:tcPr>
          <w:p>
            <w:r>
              <w:t xml:space="preserve">21d, absolute bar</w:t>
            </w:r>
          </w:p>
        </w:tc>
        <w:tc>
          <w:tcPr>
            <w:shd w:fill="F5F5F5" w:val="clear"/>
          </w:tcPr>
          <w:p>
            <w:r>
              <w:rPr>
                <w:b/>
                <w:bCs/>
              </w:rPr>
              <w:t xml:space="preserve">28d, full FIDIC process</w:t>
            </w:r>
          </w:p>
        </w:tc>
      </w:tr>
      <w:tr>
        <w:trPr>
          <w:tblHeader w:val="false"/>
        </w:trPr>
        <w:tc>
          <w:p>
            <w:r>
              <w:t xml:space="preserve">Ground risk</w:t>
            </w:r>
          </w:p>
        </w:tc>
        <w:tc>
          <w:p>
            <w:r>
              <w:t xml:space="preserve">Deleted</w:t>
            </w:r>
          </w:p>
        </w:tc>
        <w:tc>
          <w:p>
            <w:r>
              <w:t xml:space="preserve">Time only</w:t>
            </w:r>
          </w:p>
        </w:tc>
        <w:tc>
          <w:p>
            <w:r>
              <w:rPr>
                <w:b/>
                <w:bCs/>
              </w:rPr>
              <w:t xml:space="preserve">Full (time + cost)</w:t>
            </w:r>
          </w:p>
        </w:tc>
      </w:tr>
      <w:tr>
        <w:trPr>
          <w:tblHeader w:val="false"/>
        </w:trPr>
        <w:tc>
          <w:tcPr>
            <w:shd w:fill="F5F5F5" w:val="clear"/>
          </w:tcPr>
          <w:p>
            <w:r>
              <w:t xml:space="preserve">Concurrent delay</w:t>
            </w:r>
          </w:p>
        </w:tc>
        <w:tc>
          <w:tcPr>
            <w:shd w:fill="F5F5F5" w:val="clear"/>
          </w:tcPr>
          <w:p>
            <w:r>
              <w:t xml:space="preserve">Bar</w:t>
            </w:r>
          </w:p>
        </w:tc>
        <w:tc>
          <w:tcPr>
            <w:shd w:fill="F5F5F5" w:val="clear"/>
          </w:tcPr>
          <w:p>
            <w:r>
              <w:t xml:space="preserve">Bar</w:t>
            </w:r>
          </w:p>
        </w:tc>
        <w:tc>
          <w:tcPr>
            <w:shd w:fill="F5F5F5" w:val="clear"/>
          </w:tcPr>
          <w:p>
            <w:r>
              <w:rPr>
                <w:b/>
                <w:bCs/>
              </w:rPr>
              <w:t xml:space="preserve">Apportionment</w:t>
            </w:r>
          </w:p>
        </w:tc>
      </w:tr>
      <w:tr>
        <w:trPr>
          <w:tblHeader w:val="false"/>
        </w:trPr>
        <w:tc>
          <w:p>
            <w:r>
              <w:t xml:space="preserve">Cost adjustment</w:t>
            </w:r>
          </w:p>
        </w:tc>
        <w:tc>
          <w:p>
            <w:r>
              <w:t xml:space="preserve">None</w:t>
            </w:r>
          </w:p>
        </w:tc>
        <w:tc>
          <w:p>
            <w:r>
              <w:t xml:space="preserve">3 commodities, 5% franchise</w:t>
            </w:r>
          </w:p>
        </w:tc>
        <w:tc>
          <w:p>
            <w:r>
              <w:rPr>
                <w:b/>
                <w:bCs/>
              </w:rPr>
              <w:t xml:space="preserve">+labour, 2% franchise</w:t>
            </w:r>
          </w:p>
        </w:tc>
      </w:tr>
      <w:tr>
        <w:trPr>
          <w:tblHeader w:val="false"/>
        </w:trPr>
        <w:tc>
          <w:tcPr>
            <w:shd w:fill="F5F5F5" w:val="clear"/>
          </w:tcPr>
          <w:p>
            <w:r>
              <w:t xml:space="preserve">Arbitration</w:t>
            </w:r>
          </w:p>
        </w:tc>
        <w:tc>
          <w:tcPr>
            <w:shd w:fill="F5F5F5" w:val="clear"/>
          </w:tcPr>
          <w:p>
            <w:r>
              <w:t xml:space="preserve">LCIA London</w:t>
            </w:r>
          </w:p>
        </w:tc>
        <w:tc>
          <w:tcPr>
            <w:shd w:fill="F5F5F5" w:val="clear"/>
          </w:tcPr>
          <w:p>
            <w:r>
              <w:t xml:space="preserve">FCC Helsinki</w:t>
            </w:r>
          </w:p>
        </w:tc>
        <w:tc>
          <w:tcPr>
            <w:shd w:fill="F5F5F5" w:val="clear"/>
          </w:tcPr>
          <w:p>
            <w:r>
              <w:rPr>
                <w:b/>
                <w:bCs/>
              </w:rPr>
              <w:t xml:space="preserve">FCC Helsinki</w:t>
            </w:r>
          </w:p>
        </w:tc>
      </w:tr>
      <w:tr>
        <w:trPr>
          <w:tblHeader w:val="false"/>
        </w:trPr>
        <w:tc>
          <w:p>
            <w:r>
              <w:t xml:space="preserve">Subcontractor payment</w:t>
            </w:r>
          </w:p>
        </w:tc>
        <w:tc>
          <w:p>
            <w:r>
              <w:t xml:space="preserve">60d pay-when-paid</w:t>
            </w:r>
          </w:p>
        </w:tc>
        <w:tc>
          <w:p>
            <w:r>
              <w:t xml:space="preserve">45d</w:t>
            </w:r>
          </w:p>
        </w:tc>
        <w:tc>
          <w:p>
            <w:r>
              <w:rPr>
                <w:b/>
                <w:bCs/>
              </w:rPr>
              <w:t xml:space="preserve">30d</w:t>
            </w:r>
          </w:p>
        </w:tc>
      </w:tr>
      <w:tr>
        <w:trPr>
          <w:tblHeader w:val="false"/>
        </w:trPr>
        <w:tc>
          <w:tcPr>
            <w:shd w:fill="F5F5F5" w:val="clear"/>
          </w:tcPr>
          <w:p>
            <w:r>
              <w:t xml:space="preserve">Exceptional Events</w:t>
            </w:r>
          </w:p>
        </w:tc>
        <w:tc>
          <w:tcPr>
            <w:shd w:fill="F5F5F5" w:val="clear"/>
          </w:tcPr>
          <w:p>
            <w:r>
              <w:t xml:space="preserve">Narrow list</w:t>
            </w:r>
          </w:p>
        </w:tc>
        <w:tc>
          <w:tcPr>
            <w:shd w:fill="F5F5F5" w:val="clear"/>
          </w:tcPr>
          <w:p>
            <w:r>
              <w:t xml:space="preserve">+25yr weather</w:t>
            </w:r>
          </w:p>
        </w:tc>
        <w:tc>
          <w:tcPr>
            <w:shd w:fill="F5F5F5" w:val="clear"/>
          </w:tcPr>
          <w:p>
            <w:r>
              <w:rPr>
                <w:b/>
                <w:bCs/>
              </w:rPr>
              <w:t xml:space="preserve">Full 18.1 restored</w:t>
            </w:r>
          </w:p>
        </w:tc>
      </w:tr>
      <w:tr>
        <w:trPr>
          <w:tblHeader w:val="false"/>
        </w:trPr>
        <w:tc>
          <w:p>
            <w:r>
              <w:t xml:space="preserve">Employer IPC deduction</w:t>
            </w:r>
          </w:p>
        </w:tc>
        <w:tc>
          <w:p>
            <w:r>
              <w:t xml:space="preserve">None</w:t>
            </w:r>
          </w:p>
        </w:tc>
        <w:tc>
          <w:p>
            <w:r>
              <w:t xml:space="preserve">Anticipated LDs</w:t>
            </w:r>
          </w:p>
        </w:tc>
        <w:tc>
          <w:p>
            <w:r>
              <w:rPr>
                <w:b/>
                <w:bCs/>
              </w:rPr>
              <w:t xml:space="preserve">Actual LDs only</w:t>
            </w:r>
          </w:p>
        </w:tc>
      </w:tr>
    </w:tbl>
    <w:p/>
    <w:p>
      <w:pPr>
        <w:pStyle w:val="Heading1"/>
        <w:pBdr>
          <w:bottom w:val="single" w:color="1F6FB2" w:sz="6"/>
        </w:pBdr>
        <w:spacing w:after="120" w:before="240"/>
      </w:pPr>
      <w:r>
        <w:rPr>
          <w:b/>
          <w:bCs/>
          <w:color w:val="0F2E4C"/>
        </w:rPr>
        <w:t xml:space="preserve">3. SCORECARD</w:t>
      </w:r>
    </w:p>
    <w:p>
      <w:pPr>
        <w:spacing w:after="12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F2E4C" w:val="clear"/>
          </w:tcPr>
          <w:p>
            <w:pPr>
              <w:jc w:val="left"/>
            </w:pPr>
            <w:r>
              <w:rPr>
                <w:b/>
                <w:bCs/>
                <w:color w:val="FFFFFF"/>
              </w:rPr>
              <w:t xml:space="preserve">Tier</w:t>
            </w:r>
          </w:p>
        </w:tc>
        <w:tc>
          <w:tcPr>
            <w:shd w:fill="0F2E4C" w:val="clear"/>
          </w:tcPr>
          <w:p>
            <w:pPr>
              <w:jc w:val="left"/>
            </w:pPr>
            <w:r>
              <w:rPr>
                <w:b/>
                <w:bCs/>
                <w:color w:val="FFFFFF"/>
              </w:rPr>
              <w:t xml:space="preserve">Outcome</w:t>
            </w:r>
          </w:p>
        </w:tc>
      </w:tr>
      <w:tr>
        <w:trPr>
          <w:tblHeader w:val="false"/>
        </w:trPr>
        <w:tc>
          <w:p>
            <w:r>
              <w:t xml:space="preserve">Red-line (3 items)</w:t>
            </w:r>
          </w:p>
        </w:tc>
        <w:tc>
          <w:p>
            <w:r>
              <w:rPr>
                <w:b/>
                <w:bCs/>
              </w:rPr>
              <w:t xml:space="preserve">3/3 accepted (100%)</w:t>
            </w:r>
          </w:p>
        </w:tc>
      </w:tr>
      <w:tr>
        <w:trPr>
          <w:tblHeader w:val="false"/>
        </w:trPr>
        <w:tc>
          <w:tcPr>
            <w:shd w:fill="F5F5F5" w:val="clear"/>
          </w:tcPr>
          <w:p>
            <w:r>
              <w:t xml:space="preserve">Strong push (3 items)</w:t>
            </w:r>
          </w:p>
        </w:tc>
        <w:tc>
          <w:tcPr>
            <w:shd w:fill="F5F5F5" w:val="clear"/>
          </w:tcPr>
          <w:p>
            <w:r>
              <w:rPr>
                <w:b/>
                <w:bCs/>
              </w:rPr>
              <w:t xml:space="preserve">3/3 accepted (100%)</w:t>
            </w:r>
          </w:p>
        </w:tc>
      </w:tr>
      <w:tr>
        <w:trPr>
          <w:tblHeader w:val="false"/>
        </w:trPr>
        <w:tc>
          <w:p>
            <w:r>
              <w:t xml:space="preserve">Nice-to-have (4 items)</w:t>
            </w:r>
          </w:p>
        </w:tc>
        <w:tc>
          <w:p>
            <w:r>
              <w:rPr>
                <w:b/>
                <w:bCs/>
              </w:rPr>
              <w:t xml:space="preserve">2/4 accepted + 1 partial (63%)</w:t>
            </w:r>
          </w:p>
        </w:tc>
      </w:tr>
      <w:tr>
        <w:trPr>
          <w:tblHeader w:val="false"/>
        </w:trPr>
        <w:tc>
          <w:tcPr>
            <w:shd w:fill="F5F5F5" w:val="clear"/>
          </w:tcPr>
          <w:p>
            <w:r>
              <w:t xml:space="preserve">Unasked-for wins</w:t>
            </w:r>
          </w:p>
        </w:tc>
        <w:tc>
          <w:tcPr>
            <w:shd w:fill="F5F5F5" w:val="clear"/>
          </w:tcPr>
          <w:p>
            <w:r>
              <w:rPr>
                <w:b/>
                <w:bCs/>
              </w:rPr>
              <w:t xml:space="preserve">6 additional concessions</w:t>
            </w:r>
          </w:p>
        </w:tc>
      </w:tr>
      <w:tr>
        <w:trPr>
          <w:tblHeader w:val="false"/>
        </w:trPr>
        <w:tc>
          <w:p>
            <w:r>
              <w:t xml:space="preserve">Sole gap</w:t>
            </w:r>
          </w:p>
        </w:tc>
        <w:tc>
          <w:p>
            <w:r>
              <w:t xml:space="preserve">DAAB deletion — knowingly accepted per NB-PDC-031</w:t>
            </w:r>
          </w:p>
        </w:tc>
      </w:tr>
    </w:tbl>
    <w:p/>
    <w:p>
      <w:pPr>
        <w:pStyle w:val="Heading1"/>
        <w:pBdr>
          <w:bottom w:val="single" w:color="1F6FB2" w:sz="6"/>
        </w:pBdr>
        <w:spacing w:after="120" w:before="240"/>
      </w:pPr>
      <w:r>
        <w:rPr>
          <w:b/>
          <w:bCs/>
          <w:color w:val="0F2E4C"/>
        </w:rPr>
        <w:t xml:space="preserve">4. CONCLUSION</w:t>
      </w:r>
    </w:p>
    <w:p>
      <w:pPr>
        <w:spacing w:after="120"/>
      </w:pPr>
      <w:r>
        <w:t xml:space="preserve">Three rounds of negotiation. This contract is now aligned with our historical database on every material commercial metric. The three critical risks identified in Rev A — unlimited liability, absolute design warranty, and ER error trap — are all resolved. The contract mechanics (claims, variations, concurrent delay, ground risk, exceptional events) have been rebuilt to standard FIDIC position. The commercial terms (advance, retention, LDs, DNP, subcontractor payment) match or exceed our benchmark portfolio.</w:t>
      </w:r>
    </w:p>
    <w:p>
      <w:pPr>
        <w:spacing w:after="120"/>
      </w:pPr>
      <w:r>
        <w:rPr>
          <w:b/>
          <w:bCs/>
        </w:rPr>
        <w:t xml:space="preserve">The one gap — no DAAB — is consciously accepted.</w:t>
      </w:r>
      <w:r>
        <w:t xml:space="preserve"> For a €92.4M, 22-month programme with Helsinki-seated FCC arbitration, a standing dispute board would be disproportionate. Our Finnish portfolio has historically managed without one.</w:t>
      </w:r>
    </w:p>
    <w:p>
      <w:pPr>
        <w:spacing w:after="120"/>
      </w:pPr>
      <w:r>
        <w:rPr>
          <w:b/>
          <w:bCs/>
        </w:rPr>
        <w:t xml:space="preserve">Recommendation: Sign Rev 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C1C1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2026-07-31T00:22:49.009Z</dcterms:created>
  <dcterms:modified xsi:type="dcterms:W3CDTF">2026-07-31T00:22:49.009Z</dcterms:modified>
</cp:coreProperties>
</file>

<file path=docProps/custom.xml><?xml version="1.0" encoding="utf-8"?>
<Properties xmlns="http://schemas.openxmlformats.org/officeDocument/2006/custom-properties" xmlns:vt="http://schemas.openxmlformats.org/officeDocument/2006/docPropsVTypes"/>
</file>