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0F2E4C"/>
        </w:rPr>
        <w:t xml:space="preserve">PDC-SUB-005 Rev 0 — Ilmatek TP-005 Subcontract Review</w:t>
      </w:r>
    </w:p>
    <w:p>
      <w:pPr>
        <w:spacing w:after="120"/>
      </w:pPr>
      <w:r>
        <w:rPr>
          <w:b/>
          <w:bCs/>
        </w:rPr>
        <w:t xml:space="preserve">Jurisdiction:</w:t>
      </w:r>
      <w:r>
        <w:t xml:space="preserve"> Finland</w:t>
      </w:r>
    </w:p>
    <w:p>
      <w:pPr>
        <w:pStyle w:val="Heading1"/>
        <w:pBdr>
          <w:bottom w:val="single" w:color="1F6FB2" w:sz="6"/>
        </w:pBdr>
        <w:spacing w:after="120" w:before="240"/>
      </w:pPr>
      <w:r>
        <w:rPr>
          <w:b/>
          <w:bCs/>
          <w:color w:val="0F2E4C"/>
        </w:rPr>
        <w:t xml:space="preserve">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F2E4C" w:val="clear"/>
          </w:tcPr>
          <w:p>
            <w:pPr>
              <w:jc w:val="left"/>
            </w:pPr>
            <w:r>
              <w:rPr>
                <w:b/>
                <w:bCs/>
                <w:color w:val="FFFFFF"/>
              </w:rPr>
              <w:t xml:space="preserve">Metric</w:t>
            </w:r>
          </w:p>
        </w:tc>
        <w:tc>
          <w:tcPr>
            <w:shd w:fill="0F2E4C" w:val="clear"/>
          </w:tcPr>
          <w:p>
            <w:pPr>
              <w:jc w:val="left"/>
            </w:pPr>
            <w:r>
              <w:rPr>
                <w:b/>
                <w:bCs/>
                <w:color w:val="FFFFFF"/>
              </w:rPr>
              <w:t xml:space="preserve">Value</w:t>
            </w:r>
          </w:p>
        </w:tc>
      </w:tr>
      <w:tr>
        <w:trPr>
          <w:tblHeader w:val="false"/>
        </w:trPr>
        <w:tc>
          <w:p>
            <w:r>
              <w:t xml:space="preserve">Clauses (subject)</w:t>
            </w:r>
          </w:p>
        </w:tc>
        <w:tc>
          <w:p>
            <w:r>
              <w:t xml:space="preserve">55</w:t>
            </w:r>
          </w:p>
        </w:tc>
      </w:tr>
      <w:tr>
        <w:trPr>
          <w:tblHeader w:val="false"/>
        </w:trPr>
        <w:tc>
          <w:tcPr>
            <w:shd w:fill="F5F5F5" w:val="clear"/>
          </w:tcPr>
          <w:p>
            <w:r>
              <w:t xml:space="preserve">Clauses analysed</w:t>
            </w:r>
          </w:p>
        </w:tc>
        <w:tc>
          <w:tcPr>
            <w:shd w:fill="F5F5F5" w:val="clear"/>
          </w:tcPr>
          <w:p>
            <w:r>
              <w:t xml:space="preserve">55</w:t>
            </w:r>
          </w:p>
        </w:tc>
      </w:tr>
      <w:tr>
        <w:trPr>
          <w:tblHeader w:val="false"/>
        </w:trPr>
        <w:tc>
          <w:p>
            <w:r>
              <w:t xml:space="preserve">Status mix</w:t>
            </w:r>
          </w:p>
        </w:tc>
        <w:tc>
          <w:p>
            <w:r>
              <w:t xml:space="preserve">Accepted: 29 Â· Acceptable subject to modification: 13</w:t>
            </w:r>
          </w:p>
        </w:tc>
      </w:tr>
      <w:tr>
        <w:trPr>
          <w:tblHeader w:val="false"/>
        </w:trPr>
        <w:tc>
          <w:tcPr>
            <w:shd w:fill="F5F5F5" w:val="clear"/>
          </w:tcPr>
          <w:p>
            <w:r>
              <w:t xml:space="preserve">Skills run</w:t>
            </w:r>
          </w:p>
        </w:tc>
        <w:tc>
          <w:tcPr>
            <w:shd w:fill="F5F5F5" w:val="clear"/>
          </w:tcPr>
          <w:p>
            <w:r>
              <w:t xml:space="preserve">â€”</w:t>
            </w:r>
          </w:p>
        </w:tc>
      </w:tr>
      <w:tr>
        <w:trPr>
          <w:tblHeader w:val="false"/>
        </w:trPr>
        <w:tc>
          <w:p>
            <w:r>
              <w:t xml:space="preserve">Check verdict</w:t>
            </w:r>
          </w:p>
        </w:tc>
        <w:tc>
          <w:p>
            <w:r>
              <w:t xml:space="preserve">accept</w:t>
            </w:r>
          </w:p>
        </w:tc>
      </w:tr>
      <w:tr>
        <w:trPr>
          <w:tblHeader w:val="false"/>
        </w:trPr>
        <w:tc>
          <w:tcPr>
            <w:shd w:fill="F5F5F5" w:val="clear"/>
          </w:tcPr>
          <w:p>
            <w:r>
              <w:t xml:space="preserve">Review verdict</w:t>
            </w:r>
          </w:p>
        </w:tc>
        <w:tc>
          <w:tcPr>
            <w:shd w:fill="F5F5F5" w:val="clear"/>
          </w:tcPr>
          <w:p>
            <w:r>
              <w:t xml:space="preserve">approve</w:t>
            </w:r>
          </w:p>
        </w:tc>
      </w:tr>
    </w:tbl>
    <w:p/>
    <w:p>
      <w:pPr>
        <w:pStyle w:val="Heading1"/>
        <w:pBdr>
          <w:bottom w:val="single" w:color="1F6FB2" w:sz="6"/>
        </w:pBdr>
        <w:spacing w:after="120" w:before="240"/>
      </w:pPr>
      <w:r>
        <w:rPr>
          <w:b/>
          <w:bCs/>
          <w:color w:val="0F2E4C"/>
        </w:rPr>
        <w:t xml:space="preserve">Clause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2E4C" w:val="clear"/>
          </w:tcPr>
          <w:p>
            <w:pPr>
              <w:jc w:val="left"/>
            </w:pPr>
            <w:r>
              <w:rPr>
                <w:b/>
                <w:bCs/>
                <w:color w:val="FFFFFF"/>
              </w:rPr>
              <w:t xml:space="preserve">Clause ID</w:t>
            </w:r>
          </w:p>
        </w:tc>
        <w:tc>
          <w:tcPr>
            <w:shd w:fill="0F2E4C" w:val="clear"/>
          </w:tcPr>
          <w:p>
            <w:pPr>
              <w:jc w:val="left"/>
            </w:pPr>
            <w:r>
              <w:rPr>
                <w:b/>
                <w:bCs/>
                <w:color w:val="FFFFFF"/>
              </w:rPr>
              <w:t xml:space="preserve">Clause</w:t>
            </w:r>
          </w:p>
        </w:tc>
        <w:tc>
          <w:tcPr>
            <w:shd w:fill="0F2E4C" w:val="clear"/>
          </w:tcPr>
          <w:p>
            <w:pPr>
              <w:jc w:val="left"/>
            </w:pPr>
            <w:r>
              <w:rPr>
                <w:b/>
                <w:bCs/>
                <w:color w:val="FFFFFF"/>
              </w:rPr>
              <w:t xml:space="preserve">Status</w:t>
            </w:r>
          </w:p>
        </w:tc>
        <w:tc>
          <w:tcPr>
            <w:shd w:fill="0F2E4C" w:val="clear"/>
          </w:tcPr>
          <w:p>
            <w:pPr>
              <w:jc w:val="left"/>
            </w:pPr>
            <w:r>
              <w:rPr>
                <w:b/>
                <w:bCs/>
                <w:color w:val="FFFFFF"/>
              </w:rPr>
              <w:t xml:space="preserve">Justification</w:t>
            </w:r>
          </w:p>
        </w:tc>
        <w:tc>
          <w:tcPr>
            <w:shd w:fill="0F2E4C" w:val="clear"/>
          </w:tcPr>
          <w:p>
            <w:pPr>
              <w:jc w:val="left"/>
            </w:pPr>
            <w:r>
              <w:rPr>
                <w:b/>
                <w:bCs/>
                <w:color w:val="FFFFFF"/>
              </w:rPr>
              <w:t xml:space="preserve">Matched DB</w:t>
            </w:r>
          </w:p>
        </w:tc>
      </w:tr>
      <w:tr>
        <w:trPr>
          <w:tblHeader w:val="false"/>
        </w:trPr>
        <w:tc>
          <w:p>
            <w:r>
              <w:t xml:space="preserve">Subcontract Sum (excluding VAT)</w:t>
            </w:r>
          </w:p>
        </w:tc>
        <w:tc>
          <w:p>
            <w:r>
              <w:rPr>
                <w:b/>
                <w:bCs/>
              </w:rPr>
              <w:t xml:space="preserve">EUR 22,286,880</w:t>
            </w:r>
          </w:p>
        </w:tc>
        <w:tc>
          <w:p>
            <w:r>
              <w:t xml:space="preserve">Non-contractual item — no obligations to assess.</w:t>
            </w:r>
          </w:p>
        </w:tc>
        <w:tc>
          <w:p>
            <w:r>
              <w:t xml:space="preserve">The string '</w:t>
            </w:r>
            <w:r>
              <w:rPr>
                <w:b/>
                <w:bCs/>
              </w:rPr>
              <w:t xml:space="preserve">EUR 22,286,880</w:t>
            </w:r>
            <w:r>
              <w:t xml:space="preserve">' is a bold placeholder for the Subcontract Sum and does not create any obligation, right, or condition. It is a formatting marker rather than a contractual clause.</w:t>
            </w:r>
          </w:p>
        </w:tc>
        <w:tc>
          <w:p>
            <w:r>
              <w:t xml:space="preserve"/>
            </w:r>
          </w:p>
        </w:tc>
      </w:tr>
      <w:tr>
        <w:trPr>
          <w:tblHeader w:val="false"/>
        </w:trPr>
        <w:tc>
          <w:tcPr>
            <w:shd w:fill="F5F5F5" w:val="clear"/>
          </w:tcPr>
          <w:p>
            <w:r>
              <w:t xml:space="preserve">Currency</w:t>
            </w:r>
          </w:p>
        </w:tc>
        <w:tc>
          <w:tcPr>
            <w:shd w:fill="F5F5F5" w:val="clear"/>
          </w:tcPr>
          <w:p>
            <w:r>
              <w:t xml:space="preserve">EUR</w:t>
            </w:r>
          </w:p>
        </w:tc>
        <w:tc>
          <w:tcPr>
            <w:shd w:fill="F5F5F5" w:val="clear"/>
          </w:tcPr>
          <w:p>
            <w:r>
              <w:t xml:space="preserve">Non-contractual item — no obligations to assess.</w:t>
            </w:r>
          </w:p>
        </w:tc>
        <w:tc>
          <w:tcPr>
            <w:shd w:fill="F5F5F5" w:val="clear"/>
          </w:tcPr>
          <w:p>
            <w:r>
              <w:t xml:space="preserve">'EUR' is a currency code and does not impose any obligation or contain any contractual provision.</w:t>
            </w:r>
          </w:p>
        </w:tc>
        <w:tc>
          <w:tcPr>
            <w:shd w:fill="F5F5F5" w:val="clear"/>
          </w:tcPr>
          <w:p>
            <w:r>
              <w:t xml:space="preserve"/>
            </w:r>
          </w:p>
        </w:tc>
      </w:tr>
      <w:tr>
        <w:trPr>
          <w:tblHeader w:val="false"/>
        </w:trPr>
        <w:tc>
          <w:p>
            <w:r>
              <w:t xml:space="preserve">Form of subcontract</w:t>
            </w:r>
          </w:p>
        </w:tc>
        <w:tc>
          <w:p>
            <w:r>
              <w:t xml:space="preserve">The Subcontractor's standard conditions, as set out in Part 2</w:t>
            </w:r>
          </w:p>
        </w:tc>
        <w:tc>
          <w:p>
            <w:r>
              <w:t xml:space="preserve">Accepted</w:t>
            </w:r>
          </w:p>
        </w:tc>
        <w:tc>
          <w:p>
            <w:r>
              <w:t xml:space="preserve">This line references 'the Subcontractor's standard conditions, as set out in Part 2'. Part 2 IS present in the document — it comprises Clauses 1–13 of PART 2 — CONDITIONS (rows #18–#46), all of which have been ingested and analysed. The reference is an internal cross-reference to the next section of the same document, not a missing attachment. The prior 'Requires Review — material dependency' classification was an error: I misread the internal reference as pointing to an external unincluded document. This is a standard 'form of subcontract' designation and is acceptable.</w:t>
            </w:r>
          </w:p>
        </w:tc>
        <w:tc>
          <w:p>
            <w:r>
              <w:t xml:space="preserve">STO-REST-2022-006:rc-0</w:t>
            </w:r>
          </w:p>
        </w:tc>
      </w:tr>
      <w:tr>
        <w:trPr>
          <w:tblHeader w:val="false"/>
        </w:trPr>
        <w:tc>
          <w:tcPr>
            <w:shd w:fill="F5F5F5" w:val="clear"/>
          </w:tcPr>
          <w:p>
            <w:r>
              <w:t xml:space="preserve">Date for commencement</w:t>
            </w:r>
          </w:p>
        </w:tc>
        <w:tc>
          <w:tcPr>
            <w:shd w:fill="F5F5F5" w:val="clear"/>
          </w:tcPr>
          <w:p>
            <w:r>
              <w:t xml:space="preserve">Within 10 working days of the Contractor's instruction to proceed</w:t>
            </w:r>
          </w:p>
        </w:tc>
        <w:tc>
          <w:tcPr>
            <w:shd w:fill="F5F5F5" w:val="clear"/>
          </w:tcPr>
          <w:p>
            <w:r>
              <w:t xml:space="preserve">Accepted</w:t>
            </w:r>
          </w:p>
        </w:tc>
        <w:tc>
          <w:tcPr>
            <w:shd w:fill="F5F5F5" w:val="clear"/>
          </w:tcPr>
          <w:p>
            <w:r>
              <w:t xml:space="preserve">This clause states the Subcontractor shall commence within 10 working days of instruction. The closest match is TAM-LOG-2025-005 C-013 (Commencement Date) which requires commencement by a set date subject to permits. The 10-working-day timeframe is reasonable for subcontract mobilization and does not conflict with any precedent values.</w:t>
            </w:r>
          </w:p>
        </w:tc>
        <w:tc>
          <w:tcPr>
            <w:shd w:fill="F5F5F5" w:val="clear"/>
          </w:tcPr>
          <w:p>
            <w:r>
              <w:t xml:space="preserve">TAM-LOG-2025-005:rc-0</w:t>
            </w:r>
          </w:p>
        </w:tc>
      </w:tr>
      <w:tr>
        <w:trPr>
          <w:tblHeader w:val="false"/>
        </w:trPr>
        <w:tc>
          <w:p>
            <w:r>
              <w:t xml:space="preserve">Period for completion</w:t>
            </w:r>
          </w:p>
        </w:tc>
        <w:tc>
          <w:p>
            <w:r>
              <w:t xml:space="preserve">48 weeks from the date of instruction</w:t>
            </w:r>
          </w:p>
        </w:tc>
        <w:tc>
          <w:p>
            <w:r>
              <w:t xml:space="preserve">Accepted</w:t>
            </w:r>
          </w:p>
        </w:tc>
        <w:tc>
          <w:p>
            <w:r>
              <w:t xml:space="preserve">The period for completion is 48 weeks. This is consistent with a subcontract's duration and can be matched to Time for Completion clauses (e.g., TAM-LOG-2025-005 C-014) which set specific dates. The duration itself is not contested; the actual completion date is fixed, so this is acceptable.</w:t>
            </w:r>
          </w:p>
        </w:tc>
        <w:tc>
          <w:p>
            <w:r>
              <w:t xml:space="preserve">TAM-LOG-2025-005:rc-0</w:t>
            </w:r>
          </w:p>
        </w:tc>
      </w:tr>
      <w:tr>
        <w:trPr>
          <w:tblHeader w:val="false"/>
        </w:trPr>
        <w:tc>
          <w:tcPr>
            <w:shd w:fill="F5F5F5" w:val="clear"/>
          </w:tcPr>
          <w:p>
            <w:r>
              <w:t xml:space="preserve">Date for completion</w:t>
            </w:r>
          </w:p>
        </w:tc>
        <w:tc>
          <w:tcPr>
            <w:shd w:fill="F5F5F5" w:val="clear"/>
          </w:tcPr>
          <w:p>
            <w:r>
              <w:rPr>
                <w:b/>
                <w:bCs/>
              </w:rPr>
              <w:t xml:space="preserve">6 March 2027</w:t>
            </w:r>
            <w:r>
              <w:t xml:space="preserve">, being 48 weeks from the anticipated instruction date</w:t>
            </w:r>
          </w:p>
        </w:tc>
        <w:tc>
          <w:tcPr>
            <w:shd w:fill="F5F5F5" w:val="clear"/>
          </w:tcPr>
          <w:p>
            <w:r>
              <w:t xml:space="preserve">Accepted</w:t>
            </w:r>
          </w:p>
        </w:tc>
        <w:tc>
          <w:tcPr>
            <w:shd w:fill="F5F5F5" w:val="clear"/>
          </w:tcPr>
          <w:p>
            <w:r>
              <w:t xml:space="preserve">The completion date '</w:t>
            </w:r>
            <w:r>
              <w:rPr>
                <w:b/>
                <w:bCs/>
              </w:rPr>
              <w:t xml:space="preserve">6 March 2027</w:t>
            </w:r>
            <w:r>
              <w:t xml:space="preserve">' is a specific date for the Subcontract Works. This is analogous to a Completion Date in a main contract (e.g., TAM-LOG-2025-005 C-014). The date itself is a fact; the obligation to complete by that date is assessed under other clauses.</w:t>
            </w:r>
          </w:p>
        </w:tc>
        <w:tc>
          <w:tcPr>
            <w:shd w:fill="F5F5F5" w:val="clear"/>
          </w:tcPr>
          <w:p>
            <w:r>
              <w:t xml:space="preserve">TAM-LOG-2025-005:rc-0</w:t>
            </w:r>
          </w:p>
        </w:tc>
      </w:tr>
      <w:tr>
        <w:trPr>
          <w:tblHeader w:val="false"/>
        </w:trPr>
        <w:tc>
          <w:p>
            <w:r>
              <w:t xml:space="preserve">Liquidated damages for delay</w:t>
            </w:r>
          </w:p>
        </w:tc>
        <w:tc>
          <w:p>
            <w:r>
              <w:t xml:space="preserve">EUR 15,000 per calendar day</w:t>
            </w:r>
          </w:p>
        </w:tc>
        <w:tc>
          <w:p>
            <w:r>
              <w:t xml:space="preserve">Acceptable subject to modification</w:t>
            </w:r>
          </w:p>
        </w:tc>
        <w:tc>
          <w:p>
            <w:r>
              <w:t xml:space="preserve">The liquidated damages rate of EUR 15,000 per calendar day is high relative to the subcontract sum of EUR 22.3M. Main contract precedents for similar mechanical packages (e.g., HEL-OB-2023-001 C-014: EUR 3,500/day on EUR 12.45M, LON-RES-2021-009: GBP 35,000/week ≈ EUR 5,000/day for GBP 145M) indicate EUR 15,000/day on a EUR 22M scope is excessive. A rate aligned with proportionality would be approximately EUR 3,500-4,500/day. The clause should be modified to a rate proportional to the subcontract value, such as EUR 3,500 per day.</w:t>
            </w:r>
          </w:p>
        </w:tc>
        <w:tc>
          <w:p>
            <w:r>
              <w:t xml:space="preserve">TAM-LOG-2025-005:rc-0</w:t>
            </w:r>
          </w:p>
        </w:tc>
      </w:tr>
      <w:tr>
        <w:trPr>
          <w:tblHeader w:val="false"/>
        </w:trPr>
        <w:tc>
          <w:tcPr>
            <w:shd w:fill="F5F5F5" w:val="clear"/>
          </w:tcPr>
          <w:p>
            <w:r>
              <w:t xml:space="preserve">Aggregate limit on liquidated damages</w:t>
            </w:r>
          </w:p>
        </w:tc>
        <w:tc>
          <w:tcPr>
            <w:shd w:fill="F5F5F5" w:val="clear"/>
          </w:tcPr>
          <w:p>
            <w:r>
              <w:t xml:space="preserve">None</w:t>
            </w:r>
          </w:p>
        </w:tc>
        <w:tc>
          <w:tcPr>
            <w:shd w:fill="F5F5F5" w:val="clear"/>
          </w:tcPr>
          <w:p>
            <w:r>
              <w:t xml:space="preserve">Acceptable subject to modification</w:t>
            </w:r>
          </w:p>
        </w:tc>
        <w:tc>
          <w:tcPr>
            <w:shd w:fill="F5F5F5" w:val="clear"/>
          </w:tcPr>
          <w:p>
            <w:r>
              <w:t xml:space="preserve">The clause 'None' regarding liquidated damages cap (interpreted as no aggregate limit) deviates from all master database precedents, which universally cap LDs at 10% (or 15% for some Nordic contracts) of the Contract Sum. For subcontracts, a cap of 10% of the Subcontract Sum is the standard. Unbounded LDs expose the Subcontractor to disproportionate risk and may be unenforceable under Finnish law as a penalty. The cap should be set at 10% of the Subcontract Sum.</w:t>
            </w:r>
          </w:p>
        </w:tc>
        <w:tc>
          <w:tcPr>
            <w:shd w:fill="F5F5F5" w:val="clear"/>
          </w:tcPr>
          <w:p>
            <w:r>
              <w:t xml:space="preserve">TAM-LOG-2025-005:rc-0</w:t>
            </w:r>
          </w:p>
        </w:tc>
      </w:tr>
      <w:tr>
        <w:trPr>
          <w:tblHeader w:val="false"/>
        </w:trPr>
        <w:tc>
          <w:p>
            <w:r>
              <w:t xml:space="preserve">Retention</w:t>
            </w:r>
          </w:p>
        </w:tc>
        <w:tc>
          <w:p>
            <w:r>
              <w:rPr>
                <w:b/>
                <w:bCs/>
              </w:rPr>
              <w:t xml:space="preserve">10% of each payment</w:t>
            </w:r>
            <w:r>
              <w:t xml:space="preserve">, released in full on completion of the Subcontract Works</w:t>
            </w:r>
          </w:p>
        </w:tc>
        <w:tc>
          <w:p>
            <w:r>
              <w:t xml:space="preserve">Acceptable subject to modification</w:t>
            </w:r>
          </w:p>
        </w:tc>
        <w:tc>
          <w:p>
            <w:r>
              <w:t xml:space="preserve">Retention of 10% of each payment, released in full on completion, is worse than all precedent retention clauses. In the master database, retention is typically 5% during construction, reduced to 2.5% at Practical Completion, and released 12–24 months after completion (see HEL-ST-2024-002 C-010: 5% reduced to 2.5% at PC, 24 months DPN; ESP-RES-2024-003 C-014: 5% with retention bond option). A 10% non-reducing retention is overly onerous and contrary to all accepted norms. Recommended alignment with precedent: 5% retention, reduced to 2.5% at completion, with release 12 months after completion.</w:t>
            </w:r>
          </w:p>
        </w:tc>
        <w:tc>
          <w:p>
            <w:r>
              <w:t xml:space="preserve">HEL-ST-2024-002:rc-0</w:t>
            </w:r>
          </w:p>
        </w:tc>
      </w:tr>
      <w:tr>
        <w:trPr>
          <w:tblHeader w:val="false"/>
        </w:trPr>
        <w:tc>
          <w:tcPr>
            <w:shd w:fill="F5F5F5" w:val="clear"/>
          </w:tcPr>
          <w:p>
            <w:r>
              <w:t xml:space="preserve">Advance payment</w:t>
            </w:r>
          </w:p>
        </w:tc>
        <w:tc>
          <w:tcPr>
            <w:shd w:fill="F5F5F5" w:val="clear"/>
          </w:tcPr>
          <w:p>
            <w:r>
              <w:t xml:space="preserve">10% of the Subcontract Sum against an advance payment guarantee, repaid by deduction of 12% from each payment</w:t>
            </w:r>
          </w:p>
        </w:tc>
        <w:tc>
          <w:tcPr>
            <w:shd w:fill="F5F5F5" w:val="clear"/>
          </w:tcPr>
          <w:p>
            <w:r>
              <w:t xml:space="preserve">Accepted</w:t>
            </w:r>
          </w:p>
        </w:tc>
        <w:tc>
          <w:tcPr>
            <w:shd w:fill="F5F5F5" w:val="clear"/>
          </w:tcPr>
          <w:p>
            <w:r>
              <w:t xml:space="preserve">Advance payment of 10% against a guarantee with 12% deduction per payment is standard and matches precedents (e.g., VAN-HC-2024-004 C-037: 5% advance, 10% recovery, but 10% is equally common; HEL-ST-2024-002 C-008: 10% advance, 15% recovery; ESP-RES-2024-003 C-012: 8% advance, 12% recovery). The rate and recovery mechanism are within the range of accepted values.</w:t>
            </w:r>
          </w:p>
        </w:tc>
        <w:tc>
          <w:tcPr>
            <w:shd w:fill="F5F5F5" w:val="clear"/>
          </w:tcPr>
          <w:p>
            <w:r>
              <w:t xml:space="preserve">VAN-HC-2024-004:rc-0</w:t>
            </w:r>
          </w:p>
        </w:tc>
      </w:tr>
      <w:tr>
        <w:trPr>
          <w:tblHeader w:val="false"/>
        </w:trPr>
        <w:tc>
          <w:p>
            <w:r>
              <w:t xml:space="preserve">Period for payment</w:t>
            </w:r>
          </w:p>
        </w:tc>
        <w:tc>
          <w:p>
            <w:r>
              <w:rPr>
                <w:b/>
                <w:bCs/>
              </w:rPr>
              <w:t xml:space="preserve">60 days from the date of the Subcontractor's invoice</w:t>
            </w:r>
          </w:p>
        </w:tc>
        <w:tc>
          <w:p>
            <w:r>
              <w:t xml:space="preserve">Acceptable subject to modification</w:t>
            </w:r>
          </w:p>
        </w:tc>
        <w:tc>
          <w:p>
            <w:r>
              <w:t xml:space="preserve">A payment period of 60 days from the Subcontractor's invoice is significantly longer than any accepted payment period in the master database. All Nordic contracts specify payment periods of 28–30 days (see TAM-LOG-2025-005 C-008: 30 days; HEL-ST-2024-002 C-009: 28 days; ESP-RES-2024-003 C-013: 28 days; even the flawed VAN-MIX-2025-011 C-006 was 60 days and was flagged as a critical flaw). 60 days imposes unacceptable cash-flow burden and is contrary to industry norms. Suggest modifying to 30 days.</w:t>
            </w:r>
          </w:p>
        </w:tc>
        <w:tc>
          <w:p>
            <w:r>
              <w:t xml:space="preserve">TAM-LOG-2025-005:rc-0</w:t>
            </w:r>
          </w:p>
        </w:tc>
      </w:tr>
      <w:tr>
        <w:trPr>
          <w:tblHeader w:val="false"/>
        </w:trPr>
        <w:tc>
          <w:tcPr>
            <w:shd w:fill="F5F5F5" w:val="clear"/>
          </w:tcPr>
          <w:p>
            <w:r>
              <w:t xml:space="preserve">Defects liability period</w:t>
            </w:r>
          </w:p>
        </w:tc>
        <w:tc>
          <w:tcPr>
            <w:shd w:fill="F5F5F5" w:val="clear"/>
          </w:tcPr>
          <w:p>
            <w:r>
              <w:rPr>
                <w:b/>
                <w:bCs/>
              </w:rPr>
              <w:t xml:space="preserve">12 months from completion of the Subcontract Works</w:t>
            </w:r>
          </w:p>
        </w:tc>
        <w:tc>
          <w:tcPr>
            <w:shd w:fill="F5F5F5" w:val="clear"/>
          </w:tcPr>
          <w:p>
            <w:r>
              <w:t xml:space="preserve">Acceptable subject to modification</w:t>
            </w:r>
          </w:p>
        </w:tc>
        <w:tc>
          <w:tcPr>
            <w:shd w:fill="F5F5F5" w:val="clear"/>
          </w:tcPr>
          <w:p>
            <w:r>
              <w:t xml:space="preserve">The Defects Liability Period (DLP) of 12 months is below the standard 24-month period used in all Finnish YSE 1998 contracts (see ESP-RES-2024-003 C-024: 24 months; HEL-OB-2023-001 C-017: 24 months; VAN-HC-2024-004 C-026: 24 months). A 12-month DLP exposes the Employer to risk of undiscovered defects and deviates from the accepted precedent. It should be amended to 24 months.</w:t>
            </w:r>
          </w:p>
        </w:tc>
        <w:tc>
          <w:tcPr>
            <w:shd w:fill="F5F5F5" w:val="clear"/>
          </w:tcPr>
          <w:p>
            <w:r>
              <w:t xml:space="preserve">ESP-RES-2024-003:rc-0</w:t>
            </w:r>
          </w:p>
        </w:tc>
      </w:tr>
      <w:tr>
        <w:trPr>
          <w:tblHeader w:val="false"/>
        </w:trPr>
        <w:tc>
          <w:p>
            <w:r>
              <w:t xml:space="preserve">Limit of the Subcontractor's liability</w:t>
            </w:r>
          </w:p>
        </w:tc>
        <w:tc>
          <w:p>
            <w:r>
              <w:rPr>
                <w:b/>
                <w:bCs/>
              </w:rPr>
              <w:t xml:space="preserve">50% of the Subcontract Sum</w:t>
            </w:r>
          </w:p>
        </w:tc>
        <w:tc>
          <w:p>
            <w:r>
              <w:t xml:space="preserve">Acceptable subject to modification</w:t>
            </w:r>
          </w:p>
        </w:tc>
        <w:tc>
          <w:p>
            <w:r>
              <w:t xml:space="preserve">Limitation of liability to 50% of the Subcontract Sum is significantly lower than industry standard for apportioned liability in construction contracts. Master database precedents show liability caps generally at 100% of the Contract Sum or up to the value of the contractor's fee (e.g., VAN-HC-2024-004 C-010: Contractor's fee cap, but overall liability typically equals the contract sum, limited to direct loss). A 50% cap undermines the Employer's ability to recover full damages for breaches. It should be amended to 100% of the Subcontract Sum, reflecting the full consideration.</w:t>
            </w:r>
          </w:p>
        </w:tc>
        <w:tc>
          <w:p>
            <w:r>
              <w:t xml:space="preserve">VAN-HC-2024-004:rc-0</w:t>
            </w:r>
          </w:p>
        </w:tc>
      </w:tr>
      <w:tr>
        <w:trPr>
          <w:tblHeader w:val="false"/>
        </w:trPr>
        <w:tc>
          <w:tcPr>
            <w:shd w:fill="F5F5F5" w:val="clear"/>
          </w:tcPr>
          <w:p>
            <w:r>
              <w:t xml:space="preserve">Professional indemnity insurance</w:t>
            </w:r>
          </w:p>
        </w:tc>
        <w:tc>
          <w:tcPr>
            <w:shd w:fill="F5F5F5" w:val="clear"/>
          </w:tcPr>
          <w:p>
            <w:r>
              <w:rPr>
                <w:b/>
                <w:bCs/>
              </w:rPr>
              <w:t xml:space="preserve">EUR 2,000,000 each and every claim, maintained for 3 years from completion</w:t>
            </w:r>
          </w:p>
        </w:tc>
        <w:tc>
          <w:tcPr>
            <w:shd w:fill="F5F5F5" w:val="clear"/>
          </w:tcPr>
          <w:p>
            <w:r>
              <w:t xml:space="preserve">Acceptable subject to modification</w:t>
            </w:r>
          </w:p>
        </w:tc>
        <w:tc>
          <w:tcPr>
            <w:shd w:fill="F5F5F5" w:val="clear"/>
          </w:tcPr>
          <w:p>
            <w:r>
              <w:t xml:space="preserve">Professional indemnity insurance of EUR 2,000,000 each and every claim, maintained for 3 years from completion, is below the precedent limits. For a mechanical package, a minimum PI limit of EUR 5,000,000 per claim with a minimum run-off of 6 years (as per LON-RES-2021-009 C-024: GBP 10M per claim / 6 years; HEL-ST-2024-002 C-025: EUR 5M per claim / 10 years; MUC-HOS-2020-010 C-025: EUR 5M per claim / 10 years). Suggest aligning to EUR 5,000,000 per claim and a 6-year run-off.</w:t>
            </w:r>
          </w:p>
        </w:tc>
        <w:tc>
          <w:tcPr>
            <w:shd w:fill="F5F5F5" w:val="clear"/>
          </w:tcPr>
          <w:p>
            <w:r>
              <w:t xml:space="preserve">LON-RES-2021-009:rc-0</w:t>
            </w:r>
          </w:p>
        </w:tc>
      </w:tr>
      <w:tr>
        <w:trPr>
          <w:tblHeader w:val="false"/>
        </w:trPr>
        <w:tc>
          <w:p>
            <w:r>
              <w:t xml:space="preserve">Third party liability insurance</w:t>
            </w:r>
          </w:p>
        </w:tc>
        <w:tc>
          <w:p>
            <w:r>
              <w:t xml:space="preserve">EUR 5,000,000 per occurrence</w:t>
            </w:r>
          </w:p>
        </w:tc>
        <w:tc>
          <w:p>
            <w:r>
              <w:t xml:space="preserve">Acceptable subject to modification</w:t>
            </w:r>
          </w:p>
        </w:tc>
        <w:tc>
          <w:p>
            <w:r>
              <w:t xml:space="preserve">Public liability insurance of EUR 5,000,000 per occurrence is the minimum acceptable level found in some Nordic precedents (e.g., TAM-LOG-2025-005 C-024: EUR 5M; HEL-OB-2023-001 C-022: EUR 5M). However, for a civil/mechanical subcontract on a large infrastructure project, EUR 10M per occurrence (as in HEL-ST-2024-002 C-024: EUR 10M; LON-RES-2021-009: GBP 10M) is more appropriate given the risk profile. The EUR 5M limit is marginally acceptable but should ideally be increased to EUR 10M.</w:t>
            </w:r>
          </w:p>
        </w:tc>
        <w:tc>
          <w:p>
            <w:r>
              <w:t xml:space="preserve">HEL-ST-2024-002:rc-0</w:t>
            </w:r>
          </w:p>
        </w:tc>
      </w:tr>
      <w:tr>
        <w:trPr>
          <w:tblHeader w:val="false"/>
        </w:trPr>
        <w:tc>
          <w:tcPr>
            <w:shd w:fill="F5F5F5" w:val="clear"/>
          </w:tcPr>
          <w:p>
            <w:r>
              <w:t xml:space="preserve">Performance security</w:t>
            </w:r>
          </w:p>
        </w:tc>
        <w:tc>
          <w:tcPr>
            <w:shd w:fill="F5F5F5" w:val="clear"/>
          </w:tcPr>
          <w:p>
            <w:r>
              <w:t xml:space="preserve">5% of the Subcontract Sum, on-demand bank guarantee</w:t>
            </w:r>
          </w:p>
        </w:tc>
        <w:tc>
          <w:tcPr>
            <w:shd w:fill="F5F5F5" w:val="clear"/>
          </w:tcPr>
          <w:p>
            <w:r>
              <w:t xml:space="preserve">Acceptable subject to modification</w:t>
            </w:r>
          </w:p>
        </w:tc>
        <w:tc>
          <w:tcPr>
            <w:shd w:fill="F5F5F5" w:val="clear"/>
          </w:tcPr>
          <w:p>
            <w:r>
              <w:t xml:space="preserve">A performance security of 5% of the Subcontract Sum on an on-demand bank guarantee is lower than the standard 10% used in all master database contracts (see VAN-HC-2024-004 C-037: 10%; HEL-ST-2024-002 C-036: 10%; ESP-RES-2024-003 C-042: 10%). For a subcontract of this value, 10% is the established norm and provides adequate security for the Contractor's performance. Suggest increasing to 10%.</w:t>
            </w:r>
          </w:p>
        </w:tc>
        <w:tc>
          <w:tcPr>
            <w:shd w:fill="F5F5F5" w:val="clear"/>
          </w:tcPr>
          <w:p>
            <w:r>
              <w:t xml:space="preserve">VAN-HC-2024-004:rc-0</w:t>
            </w:r>
          </w:p>
        </w:tc>
      </w:tr>
      <w:tr>
        <w:trPr>
          <w:tblHeader w:val="false"/>
        </w:trPr>
        <w:tc>
          <w:p>
            <w:r>
              <w:t xml:space="preserve">Governing law</w:t>
            </w:r>
          </w:p>
        </w:tc>
        <w:tc>
          <w:p>
            <w:r>
              <w:rPr>
                <w:b/>
                <w:bCs/>
              </w:rPr>
              <w:t xml:space="preserve">The law of Sweden</w:t>
            </w:r>
          </w:p>
        </w:tc>
        <w:tc>
          <w:p>
            <w:r>
              <w:t xml:space="preserve">Unacceptable — reject or rewrite.</w:t>
            </w:r>
          </w:p>
        </w:tc>
        <w:tc>
          <w:p>
            <w:r>
              <w:t xml:space="preserve">This clause designates Swedish law as the governing law. The project is located in Finland, the main contract PDC-PC-001 Rev C is governed by Finnish law, and the Employer and Contractor are Finnish entities. Swedish law creates a fundamental back-to-back failure: the Contractor has obligations to the Employer under Finnish law but remedies against the Subcontractor under Swedish law — different limitation periods, different contract interpretation principles, and different mandatory protections. The Subcontractor itself is a Finnish company (Ilmatek LVI Oy). This must be changed to Finnish law to mirror the main contract and reflect the project's actual location. Finnish law is the only choice that ensures consistent interpretation and enforcement across the contractual chain.</w:t>
            </w:r>
          </w:p>
        </w:tc>
        <w:tc>
          <w:p>
            <w:r>
              <w:t xml:space="preserve">STO-REST-2022-006:rc-0</w:t>
            </w:r>
          </w:p>
        </w:tc>
      </w:tr>
      <w:tr>
        <w:trPr>
          <w:tblHeader w:val="false"/>
        </w:trPr>
        <w:tc>
          <w:tcPr>
            <w:shd w:fill="F5F5F5" w:val="clear"/>
          </w:tcPr>
          <w:p>
            <w:r>
              <w:t xml:space="preserve">Dispute resolution</w:t>
            </w:r>
          </w:p>
        </w:tc>
        <w:tc>
          <w:tcPr>
            <w:shd w:fill="F5F5F5" w:val="clear"/>
          </w:tcPr>
          <w:p>
            <w:r>
              <w:rPr>
                <w:b/>
                <w:bCs/>
              </w:rPr>
              <w:t xml:space="preserve">Arbitration under the Rules of the Arbitration Institute of the Stockholm Chamber of Commerce, seat Stockholm, one arbitrator, language English</w:t>
            </w:r>
          </w:p>
        </w:tc>
        <w:tc>
          <w:tcPr>
            <w:shd w:fill="F5F5F5" w:val="clear"/>
          </w:tcPr>
          <w:p>
            <w:r>
              <w:t xml:space="preserve">Acceptable subject to modification</w:t>
            </w:r>
          </w:p>
        </w:tc>
        <w:tc>
          <w:tcPr>
            <w:shd w:fill="F5F5F5" w:val="clear"/>
          </w:tcPr>
          <w:p>
            <w:r>
              <w:t xml:space="preserve">The arbitration clause (SCC Rules, one arbitrator, seat Stockholm, English) deviates from the main contract which requires Finland Chamber of Commerce arbitration in Helsinki with three arbitrators. For a dispute of this magnitude (EUR 22.29M), a single arbitrator is inadequate — all Nordic precedent in the database uses three arbitrators. The Stockholm seat creates parallel dispute-resolution tracks with the main contract (Helsinki seat), making joined proceedings impossible and creating risk of inconsistent awards. Recommend: three arbitrators, seat Helsinki, language English, under Finland Chamber of Commerce Rules — mirroring the main contract for full back-to-back enforcement.</w:t>
            </w:r>
          </w:p>
        </w:tc>
        <w:tc>
          <w:tcPr>
            <w:shd w:fill="F5F5F5" w:val="clear"/>
          </w:tcPr>
          <w:p>
            <w:r>
              <w:t xml:space="preserve"/>
            </w:r>
          </w:p>
        </w:tc>
      </w:tr>
      <w:tr>
        <w:trPr>
          <w:tblHeader w:val="false"/>
        </w:trPr>
        <w:tc>
          <w:p>
            <w:r>
              <w:t xml:space="preserve">1.1</w:t>
            </w:r>
          </w:p>
        </w:tc>
        <w:tc>
          <w:p>
            <w:r>
              <w:t xml:space="preserve">This Subcontract comprises these conditions, the Subcontract Particulars in Part 1, the scope schedule at Appendix A, and the Subcontractor's tender offer reference IL-7729 dated 19 March 2026.</w:t>
            </w:r>
          </w:p>
        </w:tc>
        <w:tc>
          <w:p>
            <w:r>
              <w:t xml:space="preserve">Accepted</w:t>
            </w:r>
          </w:p>
        </w:tc>
        <w:tc>
          <w:p>
            <w:r>
              <w:t xml:space="preserve">This clause defines the subcontract documents, which is analogous to composition clauses in main contracts (e.g., HEL-OB-2023-001's inclusion of YSE 1998 and schedules). No commercial deviation is present; it is a standard contract structure.</w:t>
            </w:r>
          </w:p>
        </w:tc>
        <w:tc>
          <w:p>
            <w:r>
              <w:t xml:space="preserve"/>
            </w:r>
          </w:p>
        </w:tc>
      </w:tr>
      <w:tr>
        <w:trPr>
          <w:tblHeader w:val="false"/>
        </w:trPr>
        <w:tc>
          <w:tcPr>
            <w:shd w:fill="F5F5F5" w:val="clear"/>
          </w:tcPr>
          <w:p>
            <w:r>
              <w:t xml:space="preserve">1.2</w:t>
            </w:r>
          </w:p>
        </w:tc>
        <w:tc>
          <w:tcPr>
            <w:shd w:fill="F5F5F5" w:val="clear"/>
          </w:tcPr>
          <w:p>
            <w:r>
              <w:t xml:space="preserve">In the event of conflict, the order of priority is: (a) the Subcontract Particulars, (b) these conditions, (c) the Subcontractor's tender offer, (d) the Contractor's enquiry documents.</w:t>
            </w:r>
          </w:p>
        </w:tc>
        <w:tc>
          <w:tcPr>
            <w:shd w:fill="F5F5F5" w:val="clear"/>
          </w:tcPr>
          <w:p>
            <w:r>
              <w:t xml:space="preserve">Accepted</w:t>
            </w:r>
          </w:p>
        </w:tc>
        <w:tc>
          <w:tcPr>
            <w:shd w:fill="F5F5F5" w:val="clear"/>
          </w:tcPr>
          <w:p>
            <w:r>
              <w:t xml:space="preserve">The order of precedence (Subcontract Particulars first, then conditions, then tender offer, then enquiry docs) is a standard hierarchy that ensures clarity. It mirrors the precedence in HEL-ST-2024-002 C-001 and other contracts. No unacceptable deviation.</w:t>
            </w:r>
          </w:p>
        </w:tc>
        <w:tc>
          <w:tcPr>
            <w:shd w:fill="F5F5F5" w:val="clear"/>
          </w:tcPr>
          <w:p>
            <w:r>
              <w:t xml:space="preserve">HEL-ST-2024-002:rc-0</w:t>
            </w:r>
          </w:p>
        </w:tc>
      </w:tr>
      <w:tr>
        <w:trPr>
          <w:tblHeader w:val="false"/>
        </w:trPr>
        <w:tc>
          <w:p>
            <w:r>
              <w:t xml:space="preserve">2.1</w:t>
            </w:r>
          </w:p>
        </w:tc>
        <w:tc>
          <w:p>
            <w:r>
              <w:t xml:space="preserve">The Subcontractor shall design, supply, install, test and commission the mechanical works described in Appendix A.</w:t>
            </w:r>
          </w:p>
        </w:tc>
        <w:tc>
          <w:p>
            <w:r>
              <w:t xml:space="preserve">Accepted</w:t>
            </w:r>
          </w:p>
        </w:tc>
        <w:tc>
          <w:p>
            <w:r>
              <w:t xml:space="preserve">The core scope obligation — design, supply, install, test and commission mechanical works — is standard for D&amp;B subcontracts. Matched to ESP-RES-2024-003 C-005 for design obligation, though that is a main contract. No specific commercial values to compare; acceptable as-is.</w:t>
            </w:r>
          </w:p>
        </w:tc>
        <w:tc>
          <w:p>
            <w:r>
              <w:t xml:space="preserve">ESP-RES-2024-003:rc-0</w:t>
            </w:r>
          </w:p>
        </w:tc>
      </w:tr>
      <w:tr>
        <w:trPr>
          <w:tblHeader w:val="false"/>
        </w:trPr>
        <w:tc>
          <w:tcPr>
            <w:shd w:fill="F5F5F5" w:val="clear"/>
          </w:tcPr>
          <w:p>
            <w:r>
              <w:t xml:space="preserve">2.2</w:t>
            </w:r>
          </w:p>
        </w:tc>
        <w:tc>
          <w:tcPr>
            <w:shd w:fill="F5F5F5" w:val="clear"/>
          </w:tcPr>
          <w:p>
            <w:r>
              <w:t xml:space="preserve">The Subcontractor shall achieve: - free cooling of </w:t>
            </w:r>
            <w:r>
              <w:rPr>
                <w:b/>
                <w:bCs/>
              </w:rPr>
              <w:t xml:space="preserve">not less than 8,300 hours per year</w:t>
            </w:r>
            <w:r>
              <w:t xml:space="preserve"> on Vantaa climate data; - waste-heat delivery of </w:t>
            </w:r>
            <w:r>
              <w:rPr>
                <w:b/>
                <w:bCs/>
              </w:rPr>
              <w:t xml:space="preserve">not less than 4 MW at not less than 70 °C flow</w:t>
            </w:r>
            <w:r>
              <w:t xml:space="preserve"> to the site boundary chamber, demonstrated by a </w:t>
            </w:r>
            <w:r>
              <w:rPr>
                <w:b/>
                <w:bCs/>
              </w:rPr>
              <w:t xml:space="preserve">72\-hour witnessed delivery test</w:t>
            </w:r>
            <w:r>
              <w:t xml:space="preserve">; - water use effectiveness not exceeding 0.25 L/kWh for the mechanical systems.</w:t>
            </w:r>
          </w:p>
        </w:tc>
        <w:tc>
          <w:tcPr>
            <w:shd w:fill="F5F5F5" w:val="clear"/>
          </w:tcPr>
          <w:p>
            <w:r>
              <w:t xml:space="preserve">Accepted</w:t>
            </w:r>
          </w:p>
        </w:tc>
        <w:tc>
          <w:tcPr>
            <w:shd w:fill="F5F5F5" w:val="clear"/>
          </w:tcPr>
          <w:p>
            <w:r>
              <w:t xml:space="preserve">Performance criteria for free cooling, waste-heat delivery, and WUE are specific to the data centre. While no identical clause exists, the principle of specifying measurable performance outcomes is consistent with hospital commissioning clauses (e.g., VAN-HC-2024-004 C-024 Clinical Commissioning Period). The technical thresholds are commercially acceptable based on industry standards for Nordic data centres.</w:t>
            </w:r>
          </w:p>
        </w:tc>
        <w:tc>
          <w:tcPr>
            <w:shd w:fill="F5F5F5" w:val="clear"/>
          </w:tcPr>
          <w:p>
            <w:r>
              <w:t xml:space="preserve">VAN-HC-2024-004:rc-0</w:t>
            </w:r>
          </w:p>
        </w:tc>
      </w:tr>
      <w:tr>
        <w:trPr>
          <w:tblHeader w:val="false"/>
        </w:trPr>
        <w:tc>
          <w:p>
            <w:r>
              <w:t xml:space="preserve">2.3</w:t>
            </w:r>
          </w:p>
        </w:tc>
        <w:tc>
          <w:p>
            <w:r>
              <w:t xml:space="preserve">The Subcontractor's design obligation is to exercise the reasonable skill and care of a competent designer of mechanical systems of similar type and scale.</w:t>
            </w:r>
          </w:p>
        </w:tc>
        <w:tc>
          <w:p>
            <w:r>
              <w:t xml:space="preserve">Accepted</w:t>
            </w:r>
          </w:p>
        </w:tc>
        <w:tc>
          <w:p>
            <w:r>
              <w:t xml:space="preserve">The design obligation limited to reasonable skill and care (not fitness for purpose) is a common standard in professional appointments but is also found in some D&amp;B contracts (e.g., ESP-RES-2024-003 C-006 uses fitness for purpose, but many Nordic contracts use skill and care). For a subcontract mechanical designer, this is acceptable and does not breach accepted precedent.</w:t>
            </w:r>
          </w:p>
        </w:tc>
        <w:tc>
          <w:p>
            <w:r>
              <w:t xml:space="preserve">ESP-RES-2024-003:rc-0</w:t>
            </w:r>
          </w:p>
        </w:tc>
      </w:tr>
      <w:tr>
        <w:trPr>
          <w:tblHeader w:val="false"/>
        </w:trPr>
        <w:tc>
          <w:tcPr>
            <w:shd w:fill="F5F5F5" w:val="clear"/>
          </w:tcPr>
          <w:p>
            <w:r>
              <w:t xml:space="preserve">3.1</w:t>
            </w:r>
          </w:p>
        </w:tc>
        <w:tc>
          <w:tcPr>
            <w:shd w:fill="F5F5F5" w:val="clear"/>
          </w:tcPr>
          <w:p>
            <w:r>
              <w:t xml:space="preserve">The Subcontractor shall complete the Subcontract Works within the Period for Completion stated in Part 1, as a single obligation.</w:t>
            </w:r>
          </w:p>
        </w:tc>
        <w:tc>
          <w:tcPr>
            <w:shd w:fill="F5F5F5" w:val="clear"/>
          </w:tcPr>
          <w:p>
            <w:r>
              <w:t xml:space="preserve">Accepted</w:t>
            </w:r>
          </w:p>
        </w:tc>
        <w:tc>
          <w:tcPr>
            <w:shd w:fill="F5F5F5" w:val="clear"/>
          </w:tcPr>
          <w:p>
            <w:r>
              <w:t xml:space="preserve">The Subcontractor shall complete the Works within the Period for Completion as a single obligation. This mirrors typical main contract completion obligations (TAM-LOG-2025-005 C-014). No deviation.</w:t>
            </w:r>
          </w:p>
        </w:tc>
        <w:tc>
          <w:tcPr>
            <w:shd w:fill="F5F5F5" w:val="clear"/>
          </w:tcPr>
          <w:p>
            <w:r>
              <w:t xml:space="preserve">TAM-LOG-2025-005:rc-0</w:t>
            </w:r>
          </w:p>
        </w:tc>
      </w:tr>
      <w:tr>
        <w:trPr>
          <w:tblHeader w:val="false"/>
        </w:trPr>
        <w:tc>
          <w:p>
            <w:r>
              <w:t xml:space="preserve">3.2</w:t>
            </w:r>
          </w:p>
        </w:tc>
        <w:tc>
          <w:p>
            <w:r>
              <w:t xml:space="preserve">The Subcontractor shall provide a baseline programme within 21 days of instruction.</w:t>
            </w:r>
          </w:p>
        </w:tc>
        <w:tc>
          <w:p>
            <w:r>
              <w:t xml:space="preserve">Accepted</w:t>
            </w:r>
          </w:p>
        </w:tc>
        <w:tc>
          <w:p>
            <w:r>
              <w:t xml:space="preserve">Submission of a baseline programme within 21 days aligns with multiple precedents (e.g., TAM-LOG-2025-005 C-014: programme within 21 days; HEL-OB-2023-001 C-012: 21 days). Acceptable.</w:t>
            </w:r>
          </w:p>
        </w:tc>
        <w:tc>
          <w:p>
            <w:r>
              <w:t xml:space="preserve">TAM-LOG-2025-005:rc-0</w:t>
            </w:r>
          </w:p>
        </w:tc>
      </w:tr>
      <w:tr>
        <w:trPr>
          <w:tblHeader w:val="false"/>
        </w:trPr>
        <w:tc>
          <w:tcPr>
            <w:shd w:fill="F5F5F5" w:val="clear"/>
          </w:tcPr>
          <w:p>
            <w:r>
              <w:t xml:space="preserve">3.3</w:t>
            </w:r>
          </w:p>
        </w:tc>
        <w:tc>
          <w:tcPr>
            <w:shd w:fill="F5F5F5" w:val="clear"/>
          </w:tcPr>
          <w:p>
            <w:r>
              <w:t xml:space="preserve">The Subcontractor shall not be obliged to plan or resource its works to any sectional, phased or partial completion dates unless those dates are stated in Part 1.</w:t>
            </w:r>
          </w:p>
        </w:tc>
        <w:tc>
          <w:tcPr>
            <w:shd w:fill="F5F5F5" w:val="clear"/>
          </w:tcPr>
          <w:p>
            <w:r>
              <w:t xml:space="preserve">Acceptable subject to modification</w:t>
            </w:r>
          </w:p>
        </w:tc>
        <w:tc>
          <w:tcPr>
            <w:shd w:fill="F5F5F5" w:val="clear"/>
          </w:tcPr>
          <w:p>
            <w:r>
              <w:t xml:space="preserve">This clause relieves the Subcontractor from planning for sectional completion milestones unless stated in Part 1. The main contract PDC-SC-001 imposes four sectional completions (Sections 1-4) with distinct LD rates (EUR 18K/12K/12K/10K per day). While the Subcontractor's single completion date (6 March 2027) falls chronologically before Section 1, the absence of sectional milestones creates risk: (a) no intermediate mechanism if the Subcontractor's work becomes critical to integration with other packages at sectional boundaries, (b) the single LD rate (EUR 15,000/day) does not mirror the sectional structure. Recommend adding milestones in Part 1 aligned to Section 1 and Section 2 dates, and adopting per-section LD rates that match the main contract structure.</w:t>
            </w:r>
          </w:p>
        </w:tc>
        <w:tc>
          <w:tcPr>
            <w:shd w:fill="F5F5F5" w:val="clear"/>
          </w:tcPr>
          <w:p>
            <w:r>
              <w:t xml:space="preserve"/>
            </w:r>
          </w:p>
        </w:tc>
      </w:tr>
      <w:tr>
        <w:trPr>
          <w:tblHeader w:val="false"/>
        </w:trPr>
        <w:tc>
          <w:p>
            <w:r>
              <w:t xml:space="preserve">4.1</w:t>
            </w:r>
          </w:p>
        </w:tc>
        <w:tc>
          <w:p>
            <w:r>
              <w:t xml:space="preserve">The Subcontractor is entitled to an extension of time where completion is delayed by an act or omission of the Contractor, a variation, or a cause beyond the Subcontractor's reasonable control.</w:t>
            </w:r>
          </w:p>
        </w:tc>
        <w:tc>
          <w:p>
            <w:r>
              <w:t xml:space="preserve">Accepted</w:t>
            </w:r>
          </w:p>
        </w:tc>
        <w:tc>
          <w:p>
            <w:r>
              <w:t xml:space="preserve">EOT entitlement for Contractor acts, variations, and causes beyond control matches typical EOT grounds (e.g., HEL-ST-2024-002 C-017). It is standard and balanced.</w:t>
            </w:r>
          </w:p>
        </w:tc>
        <w:tc>
          <w:p>
            <w:r>
              <w:t xml:space="preserve">HEL-ST-2024-002:rc-0</w:t>
            </w:r>
          </w:p>
        </w:tc>
      </w:tr>
      <w:tr>
        <w:trPr>
          <w:tblHeader w:val="false"/>
        </w:trPr>
        <w:tc>
          <w:tcPr>
            <w:shd w:fill="F5F5F5" w:val="clear"/>
          </w:tcPr>
          <w:p>
            <w:r>
              <w:t xml:space="preserve">4.2</w:t>
            </w:r>
          </w:p>
        </w:tc>
        <w:tc>
          <w:tcPr>
            <w:shd w:fill="F5F5F5" w:val="clear"/>
          </w:tcPr>
          <w:p>
            <w:r>
              <w:rPr>
                <w:b/>
                <w:bCs/>
              </w:rPr>
              <w:t xml:space="preserve">Where a delay for which the Subcontractor is responsible occurs concurrently with a delay falling within Clause 4.1, the Subcontractor shall be entitled to a full extension of time for the whole period of concurrency.</w:t>
            </w:r>
          </w:p>
        </w:tc>
        <w:tc>
          <w:tcPr>
            <w:shd w:fill="F5F5F5" w:val="clear"/>
          </w:tcPr>
          <w:p>
            <w:r>
              <w:t xml:space="preserve">Unacceptable — reject or rewrite.</w:t>
            </w:r>
          </w:p>
        </w:tc>
        <w:tc>
          <w:tcPr>
            <w:shd w:fill="F5F5F5" w:val="clear"/>
          </w:tcPr>
          <w:p>
            <w:r>
              <w:t xml:space="preserve">This clause grants the Subcontractor a full EOT for the whole period of concurrent delay even where the Subcontractor is also at fault. The main contract PDC-PC-001 Rev C, SP-7 (based on FIDIC Sub-Clause 8.5), applies apportionment: no EOT or cost entitlement for concurrent periods. This clause would leave the Contractor liable for time extensions it cannot recover from the Employer. No precedent in the 12-contract database supports full EOT for concurrent delay. This clause must be deleted and replaced with one that mirrors the main contract's apportionment principle.</w:t>
            </w:r>
          </w:p>
        </w:tc>
        <w:tc>
          <w:tcPr>
            <w:shd w:fill="F5F5F5" w:val="clear"/>
          </w:tcPr>
          <w:p>
            <w:r>
              <w:t xml:space="preserve"/>
            </w:r>
          </w:p>
        </w:tc>
      </w:tr>
      <w:tr>
        <w:trPr>
          <w:tblHeader w:val="false"/>
        </w:trPr>
        <w:tc>
          <w:p>
            <w:r>
              <w:t xml:space="preserve">4.3</w:t>
            </w:r>
          </w:p>
        </w:tc>
        <w:tc>
          <w:p>
            <w:r>
              <w:t xml:space="preserve">The Subcontractor shall notify the Contractor within 28 days of becoming aware of the event.</w:t>
            </w:r>
          </w:p>
        </w:tc>
        <w:tc>
          <w:p>
            <w:r>
              <w:t xml:space="preserve">Accepted</w:t>
            </w:r>
          </w:p>
        </w:tc>
        <w:tc>
          <w:p>
            <w:r>
              <w:t xml:space="preserve">A 28-day notice period for EOT events is standard (e.g., HEL-ST-2024-002 C-017 requires 14-day initial notice, 42-day full particulars, but 28 days from awareness is also common). Acceptable.</w:t>
            </w:r>
          </w:p>
        </w:tc>
        <w:tc>
          <w:p>
            <w:r>
              <w:t xml:space="preserve">HEL-ST-2024-002:rc-0</w:t>
            </w:r>
          </w:p>
        </w:tc>
      </w:tr>
      <w:tr>
        <w:trPr>
          <w:tblHeader w:val="false"/>
        </w:trPr>
        <w:tc>
          <w:tcPr>
            <w:shd w:fill="F5F5F5" w:val="clear"/>
          </w:tcPr>
          <w:p>
            <w:r>
              <w:t xml:space="preserve">5.1</w:t>
            </w:r>
          </w:p>
        </w:tc>
        <w:tc>
          <w:tcPr>
            <w:shd w:fill="F5F5F5" w:val="clear"/>
          </w:tcPr>
          <w:p>
            <w:r>
              <w:t xml:space="preserve">If the Subcontractor fails to complete within the Period for Completion, the Subcontractor shall pay the Contractor liquidated damages at the rate stated in Part 1 for each day of delay.</w:t>
            </w:r>
          </w:p>
        </w:tc>
        <w:tc>
          <w:tcPr>
            <w:shd w:fill="F5F5F5" w:val="clear"/>
          </w:tcPr>
          <w:p>
            <w:r>
              <w:t xml:space="preserve">Accepted</w:t>
            </w:r>
          </w:p>
        </w:tc>
        <w:tc>
          <w:tcPr>
            <w:shd w:fill="F5F5F5" w:val="clear"/>
          </w:tcPr>
          <w:p>
            <w:r>
              <w:t xml:space="preserve">The liquidated damages obligation (rate per Part 1, per day) is standard (see TAM-LOG-2025-005 C-016). The clause itself is neutral; the rate in Part 1 is addressed separately.</w:t>
            </w:r>
          </w:p>
        </w:tc>
        <w:tc>
          <w:tcPr>
            <w:shd w:fill="F5F5F5" w:val="clear"/>
          </w:tcPr>
          <w:p>
            <w:r>
              <w:t xml:space="preserve">TAM-LOG-2025-005:rc-0</w:t>
            </w:r>
          </w:p>
        </w:tc>
      </w:tr>
      <w:tr>
        <w:trPr>
          <w:tblHeader w:val="false"/>
        </w:trPr>
        <w:tc>
          <w:p>
            <w:r>
              <w:t xml:space="preserve">5.2</w:t>
            </w:r>
          </w:p>
        </w:tc>
        <w:tc>
          <w:p>
            <w:r>
              <w:rPr>
                <w:b/>
                <w:bCs/>
              </w:rPr>
              <w:t xml:space="preserve">No aggregate limit applies to liquidated damages under this clause.</w:t>
            </w:r>
          </w:p>
        </w:tc>
        <w:tc>
          <w:p>
            <w:r>
              <w:t xml:space="preserve">Acceptable subject to modification</w:t>
            </w:r>
          </w:p>
        </w:tc>
        <w:tc>
          <w:p>
            <w:r>
              <w:t xml:space="preserve">No aggregate limit on liquidated damages is contrary to all master database precedents (cap of 10% of Contract Sum is universal). Unbounded LDs are disproportionate and likely unenforceable as a penalty. A cap of 10% of the Subcontract Sum must be imposed.</w:t>
            </w:r>
          </w:p>
        </w:tc>
        <w:tc>
          <w:p>
            <w:r>
              <w:t xml:space="preserve">TAM-LOG-2025-005:rc-0</w:t>
            </w:r>
          </w:p>
        </w:tc>
      </w:tr>
      <w:tr>
        <w:trPr>
          <w:tblHeader w:val="false"/>
        </w:trPr>
        <w:tc>
          <w:tcPr>
            <w:shd w:fill="F5F5F5" w:val="clear"/>
          </w:tcPr>
          <w:p>
            <w:r>
              <w:t xml:space="preserve">5.3</w:t>
            </w:r>
          </w:p>
        </w:tc>
        <w:tc>
          <w:tcPr>
            <w:shd w:fill="F5F5F5" w:val="clear"/>
          </w:tcPr>
          <w:p>
            <w:r>
              <w:t xml:space="preserve">Liquidated damages are the Contractor's sole financial remedy for delayed completion.</w:t>
            </w:r>
          </w:p>
        </w:tc>
        <w:tc>
          <w:tcPr>
            <w:shd w:fill="F5F5F5" w:val="clear"/>
          </w:tcPr>
          <w:p>
            <w:r>
              <w:t xml:space="preserve">Accepted</w:t>
            </w:r>
          </w:p>
        </w:tc>
        <w:tc>
          <w:tcPr>
            <w:shd w:fill="F5F5F5" w:val="clear"/>
          </w:tcPr>
          <w:p>
            <w:r>
              <w:t xml:space="preserve">LDs as the sole financial remedy for delay is a typical exclusive remedy clause (e.g., HEL-ST-2024-002 C-016). This is acceptable.</w:t>
            </w:r>
          </w:p>
        </w:tc>
        <w:tc>
          <w:tcPr>
            <w:shd w:fill="F5F5F5" w:val="clear"/>
          </w:tcPr>
          <w:p>
            <w:r>
              <w:t xml:space="preserve">HEL-ST-2024-002:rc-0</w:t>
            </w:r>
          </w:p>
        </w:tc>
      </w:tr>
      <w:tr>
        <w:trPr>
          <w:tblHeader w:val="false"/>
        </w:trPr>
        <w:tc>
          <w:p>
            <w:r>
              <w:t xml:space="preserve">6.1</w:t>
            </w:r>
          </w:p>
        </w:tc>
        <w:tc>
          <w:p>
            <w:r>
              <w:t xml:space="preserve">The Subcontractor shall submit a monthly application. The Contractor shall pay the amount properly due within the Period for Payment stated in Part 1.</w:t>
            </w:r>
          </w:p>
        </w:tc>
        <w:tc>
          <w:p>
            <w:r>
              <w:t xml:space="preserve">Accepted</w:t>
            </w:r>
          </w:p>
        </w:tc>
        <w:tc>
          <w:p>
            <w:r>
              <w:t xml:space="preserve">Monthly payment applications with payment within the Part 1 period is standard (HEL-ST-2024-002 C-009). The clause itself is acceptable; the payment period in Part 1 (60 days) is assessed separately.</w:t>
            </w:r>
          </w:p>
        </w:tc>
        <w:tc>
          <w:p>
            <w:r>
              <w:t xml:space="preserve">HEL-ST-2024-002:rc-0</w:t>
            </w:r>
          </w:p>
        </w:tc>
      </w:tr>
      <w:tr>
        <w:trPr>
          <w:tblHeader w:val="false"/>
        </w:trPr>
        <w:tc>
          <w:tcPr>
            <w:shd w:fill="F5F5F5" w:val="clear"/>
          </w:tcPr>
          <w:p>
            <w:r>
              <w:t xml:space="preserve">6.2</w:t>
            </w:r>
          </w:p>
        </w:tc>
        <w:tc>
          <w:tcPr>
            <w:shd w:fill="F5F5F5" w:val="clear"/>
          </w:tcPr>
          <w:p>
            <w:r>
              <w:t xml:space="preserve">The Contractor shall deduct retention at the percentage stated in Part 1. Retention is released in full on completion of the Subcontract Works.</w:t>
            </w:r>
          </w:p>
        </w:tc>
        <w:tc>
          <w:tcPr>
            <w:shd w:fill="F5F5F5" w:val="clear"/>
          </w:tcPr>
          <w:p>
            <w:r>
              <w:t xml:space="preserve">Accepted</w:t>
            </w:r>
          </w:p>
        </w:tc>
        <w:tc>
          <w:tcPr>
            <w:shd w:fill="F5F5F5" w:val="clear"/>
          </w:tcPr>
          <w:p>
            <w:r>
              <w:t xml:space="preserve">Retention deduction and release on completion is a standard clause (HEL-ST-2024-002 C-010). The retention percentage itself is addressed in Part 1 and clause 8 earlier.</w:t>
            </w:r>
          </w:p>
        </w:tc>
        <w:tc>
          <w:tcPr>
            <w:shd w:fill="F5F5F5" w:val="clear"/>
          </w:tcPr>
          <w:p>
            <w:r>
              <w:t xml:space="preserve">HEL-ST-2024-002:rc-0</w:t>
            </w:r>
          </w:p>
        </w:tc>
      </w:tr>
      <w:tr>
        <w:trPr>
          <w:tblHeader w:val="false"/>
        </w:trPr>
        <w:tc>
          <w:p>
            <w:r>
              <w:t xml:space="preserve">6.3</w:t>
            </w:r>
          </w:p>
        </w:tc>
        <w:tc>
          <w:p>
            <w:r>
              <w:t xml:space="preserve">Interest on late payment accrues at 8% per annum.</w:t>
            </w:r>
          </w:p>
        </w:tc>
        <w:tc>
          <w:p>
            <w:r>
              <w:t xml:space="preserve">Acceptable subject to modification</w:t>
            </w:r>
          </w:p>
        </w:tc>
        <w:tc>
          <w:p>
            <w:r>
              <w:t xml:space="preserve">Late payment interest at 8% per annum is below the Finnish statutory rate (ECB base + 8%, typically ~12% for commercial transactions). All Finnish contracts in the database reference the Finnish Interest Act rate (HEL-OB-2023-001 C-010: 8% above ECB). A fixed 8% would likely be lower than the statutory default and could be challenged. Suggest aligning with the Finnish Interest Act rate.</w:t>
            </w:r>
          </w:p>
        </w:tc>
        <w:tc>
          <w:p>
            <w:r>
              <w:t xml:space="preserve">HEL-OB-2023-001:rc-0</w:t>
            </w:r>
          </w:p>
        </w:tc>
      </w:tr>
      <w:tr>
        <w:trPr>
          <w:tblHeader w:val="false"/>
        </w:trPr>
        <w:tc>
          <w:tcPr>
            <w:shd w:fill="F5F5F5" w:val="clear"/>
          </w:tcPr>
          <w:p>
            <w:r>
              <w:t xml:space="preserve">7.1</w:t>
            </w:r>
          </w:p>
        </w:tc>
        <w:tc>
          <w:tcPr>
            <w:shd w:fill="F5F5F5" w:val="clear"/>
          </w:tcPr>
          <w:p>
            <w:r>
              <w:t xml:space="preserve">The Contractor may instruct variations to the Subcontract Works.</w:t>
            </w:r>
          </w:p>
        </w:tc>
        <w:tc>
          <w:tcPr>
            <w:shd w:fill="F5F5F5" w:val="clear"/>
          </w:tcPr>
          <w:p>
            <w:r>
              <w:t xml:space="preserve">Accepted</w:t>
            </w:r>
          </w:p>
        </w:tc>
        <w:tc>
          <w:tcPr>
            <w:shd w:fill="F5F5F5" w:val="clear"/>
          </w:tcPr>
          <w:p>
            <w:r>
              <w:t xml:space="preserve">The Contractor's right to instruct variations is standard (HEL-OB-2023-001 C-019). No issue.</w:t>
            </w:r>
          </w:p>
        </w:tc>
        <w:tc>
          <w:tcPr>
            <w:shd w:fill="F5F5F5" w:val="clear"/>
          </w:tcPr>
          <w:p>
            <w:r>
              <w:t xml:space="preserve">HEL-OB-2023-001:rc-0</w:t>
            </w:r>
          </w:p>
        </w:tc>
      </w:tr>
      <w:tr>
        <w:trPr>
          <w:tblHeader w:val="false"/>
        </w:trPr>
        <w:tc>
          <w:p>
            <w:r>
              <w:t xml:space="preserve">7.2</w:t>
            </w:r>
          </w:p>
        </w:tc>
        <w:tc>
          <w:p>
            <w:r>
              <w:t xml:space="preserve">The value of a variation shall be agreed between the parties.</w:t>
            </w:r>
          </w:p>
        </w:tc>
        <w:tc>
          <w:p>
            <w:r>
              <w:t xml:space="preserve">Accepted</w:t>
            </w:r>
          </w:p>
        </w:tc>
        <w:tc>
          <w:p>
            <w:r>
              <w:t xml:space="preserve">Agreement on variation valuation is a basic principle. However, the lack of a fallback valuation mechanism could be problematic; but the clause as stated does not contradict any precedent; it is implied.</w:t>
            </w:r>
          </w:p>
        </w:tc>
        <w:tc>
          <w:p>
            <w:r>
              <w:t xml:space="preserve">HEL-OB-2023-001:rc-0</w:t>
            </w:r>
          </w:p>
        </w:tc>
      </w:tr>
      <w:tr>
        <w:trPr>
          <w:tblHeader w:val="false"/>
        </w:trPr>
        <w:tc>
          <w:tcPr>
            <w:shd w:fill="F5F5F5" w:val="clear"/>
          </w:tcPr>
          <w:p>
            <w:r>
              <w:t xml:space="preserve">7.3</w:t>
            </w:r>
          </w:p>
        </w:tc>
        <w:tc>
          <w:tcPr>
            <w:shd w:fill="F5F5F5" w:val="clear"/>
          </w:tcPr>
          <w:p>
            <w:r>
              <w:rPr>
                <w:b/>
                <w:bCs/>
              </w:rPr>
              <w:t xml:space="preserve">Where the value of an instructed variation has not been agreed within 14 days of the instruction, the Subcontractor may suspend execution of that variation until the value is agreed, without liability for any consequent delay.</w:t>
            </w:r>
          </w:p>
        </w:tc>
        <w:tc>
          <w:tcPr>
            <w:shd w:fill="F5F5F5" w:val="clear"/>
          </w:tcPr>
          <w:p>
            <w:r>
              <w:t xml:space="preserve">Unacceptable — reject or rewrite.</w:t>
            </w:r>
          </w:p>
        </w:tc>
        <w:tc>
          <w:tcPr>
            <w:shd w:fill="F5F5F5" w:val="clear"/>
          </w:tcPr>
          <w:p>
            <w:r>
              <w:t xml:space="preserve">This clause grants the Subcontractor a unilateral right to suspend variation work if value is not agreed within 14 days, without liability for consequent delay. The main contract PDC-PC-001 Rev C, Particular Condition SP-9, requires the Contractor to proceed with variations immediately upon instruction, with the Engineer making an interim valuation within 28 days. This clause would let the Subcontractor halt work and disrupt the programme — a coercive tool the Contractor has no equivalent of under the main contract. Under the Finnish Unfair Contract Terms Act (1255/1993), this clause is likely unenforceable as unreasonably favourable. No precedent in the database supports this. The clause must be deleted and replaced with a 'proceed now, value later' mechanism mirroring SP-9.</w:t>
            </w:r>
          </w:p>
        </w:tc>
        <w:tc>
          <w:tcPr>
            <w:shd w:fill="F5F5F5" w:val="clear"/>
          </w:tcPr>
          <w:p>
            <w:r>
              <w:t xml:space="preserve"/>
            </w:r>
          </w:p>
        </w:tc>
      </w:tr>
      <w:tr>
        <w:trPr>
          <w:tblHeader w:val="false"/>
        </w:trPr>
        <w:tc>
          <w:p>
            <w:r>
              <w:t xml:space="preserve">8.1</w:t>
            </w:r>
          </w:p>
        </w:tc>
        <w:tc>
          <w:p>
            <w:r>
              <w:t xml:space="preserve">The Subcontractor shall make good defects notified during the Defects Liability Period stated in Part 1, which runs from completion of the Subcontract Works.</w:t>
            </w:r>
          </w:p>
        </w:tc>
        <w:tc>
          <w:p>
            <w:r>
              <w:t xml:space="preserve">Accepted</w:t>
            </w:r>
          </w:p>
        </w:tc>
        <w:tc>
          <w:p>
            <w:r>
              <w:t xml:space="preserve">The defect rectification obligation during the DLP is standard (ESP-RES-2024-003 C-024). The DLP duration is to be specified in Part 1 (clause 11) and is assessed separately.</w:t>
            </w:r>
          </w:p>
        </w:tc>
        <w:tc>
          <w:p>
            <w:r>
              <w:t xml:space="preserve">ESP-RES-2024-003:rc-0</w:t>
            </w:r>
          </w:p>
        </w:tc>
      </w:tr>
      <w:tr>
        <w:trPr>
          <w:tblHeader w:val="false"/>
        </w:trPr>
        <w:tc>
          <w:tcPr>
            <w:shd w:fill="F5F5F5" w:val="clear"/>
          </w:tcPr>
          <w:p>
            <w:r>
              <w:t xml:space="preserve">9.1</w:t>
            </w:r>
          </w:p>
        </w:tc>
        <w:tc>
          <w:tcPr>
            <w:shd w:fill="F5F5F5" w:val="clear"/>
          </w:tcPr>
          <w:p>
            <w:r>
              <w:t xml:space="preserve">The Subcontractor's total liability arising out of or in connection with this Subcontract is limited to the amount stated in Part 1.</w:t>
            </w:r>
          </w:p>
        </w:tc>
        <w:tc>
          <w:tcPr>
            <w:shd w:fill="F5F5F5" w:val="clear"/>
          </w:tcPr>
          <w:p>
            <w:r>
              <w:t xml:space="preserve">Accepted</w:t>
            </w:r>
          </w:p>
        </w:tc>
        <w:tc>
          <w:tcPr>
            <w:shd w:fill="F5F5F5" w:val="clear"/>
          </w:tcPr>
          <w:p>
            <w:r>
              <w:t xml:space="preserve">Limitation of liability to a stated amount is standard, provided the amount is reasonable. The amount is stated in Part 1 (clause 12) and assessed separately.</w:t>
            </w:r>
          </w:p>
        </w:tc>
        <w:tc>
          <w:tcPr>
            <w:shd w:fill="F5F5F5" w:val="clear"/>
          </w:tcPr>
          <w:p>
            <w:r>
              <w:t xml:space="preserve">VAN-HC-2024-004:rc-0</w:t>
            </w:r>
          </w:p>
        </w:tc>
      </w:tr>
      <w:tr>
        <w:trPr>
          <w:tblHeader w:val="false"/>
        </w:trPr>
        <w:tc>
          <w:p>
            <w:r>
              <w:t xml:space="preserve">9.2</w:t>
            </w:r>
          </w:p>
        </w:tc>
        <w:tc>
          <w:p>
            <w:r>
              <w:t xml:space="preserve">Nothing in this Subcontract limits liability for death or personal injury caused by negligence, for fraud, or for wilful misconduct.</w:t>
            </w:r>
          </w:p>
        </w:tc>
        <w:tc>
          <w:p>
            <w:r>
              <w:t xml:space="preserve">Accepted</w:t>
            </w:r>
          </w:p>
        </w:tc>
        <w:tc>
          <w:p>
            <w:r>
              <w:t xml:space="preserve">Carve-outs from liability cap for death, injury, fraud, etc. are standard (LON-RES-2021-009 C-040). Acceptable.</w:t>
            </w:r>
          </w:p>
        </w:tc>
        <w:tc>
          <w:p>
            <w:r>
              <w:t xml:space="preserve">LON-RES-2021-009:rc-0</w:t>
            </w:r>
          </w:p>
        </w:tc>
      </w:tr>
      <w:tr>
        <w:trPr>
          <w:tblHeader w:val="false"/>
        </w:trPr>
        <w:tc>
          <w:tcPr>
            <w:shd w:fill="F5F5F5" w:val="clear"/>
          </w:tcPr>
          <w:p>
            <w:r>
              <w:t xml:space="preserve">9.3</w:t>
            </w:r>
          </w:p>
        </w:tc>
        <w:tc>
          <w:tcPr>
            <w:shd w:fill="F5F5F5" w:val="clear"/>
          </w:tcPr>
          <w:p>
            <w:r>
              <w:t xml:space="preserve">The Subcontractor shall maintain the insurances stated in Part 1.</w:t>
            </w:r>
          </w:p>
        </w:tc>
        <w:tc>
          <w:tcPr>
            <w:shd w:fill="F5F5F5" w:val="clear"/>
          </w:tcPr>
          <w:p>
            <w:r>
              <w:t xml:space="preserve">Accepted</w:t>
            </w:r>
          </w:p>
        </w:tc>
        <w:tc>
          <w:tcPr>
            <w:shd w:fill="F5F5F5" w:val="clear"/>
          </w:tcPr>
          <w:p>
            <w:r>
              <w:t xml:space="preserve">Obligation to maintain insurances as stated in Part 1 is standard (HEL-OB-2023-001 C-021 et seq.). Acceptable.</w:t>
            </w:r>
          </w:p>
        </w:tc>
        <w:tc>
          <w:tcPr>
            <w:shd w:fill="F5F5F5" w:val="clear"/>
          </w:tcPr>
          <w:p>
            <w:r>
              <w:t xml:space="preserve">HEL-OB-2023-001:rc-0</w:t>
            </w:r>
          </w:p>
        </w:tc>
      </w:tr>
      <w:tr>
        <w:trPr>
          <w:tblHeader w:val="false"/>
        </w:trPr>
        <w:tc>
          <w:p>
            <w:r>
              <w:t xml:space="preserve">10.1</w:t>
            </w:r>
          </w:p>
        </w:tc>
        <w:tc>
          <w:p>
            <w:r>
              <w:t xml:space="preserve">The Subcontractor shall provide the performance security stated in Part 1 within 28 days of execution.</w:t>
            </w:r>
          </w:p>
        </w:tc>
        <w:tc>
          <w:p>
            <w:r>
              <w:t xml:space="preserve">Accepted</w:t>
            </w:r>
          </w:p>
        </w:tc>
        <w:tc>
          <w:p>
            <w:r>
              <w:t xml:space="preserve">Provision of performance security within 28 days is typical (HEL-ST-2024-002 C-036: 14 days for bond, but 28 days is common in Nordic contracts). Acceptable.</w:t>
            </w:r>
          </w:p>
        </w:tc>
        <w:tc>
          <w:p>
            <w:r>
              <w:t xml:space="preserve">HEL-ST-2024-002:rc-0</w:t>
            </w:r>
          </w:p>
        </w:tc>
      </w:tr>
      <w:tr>
        <w:trPr>
          <w:tblHeader w:val="false"/>
        </w:trPr>
        <w:tc>
          <w:tcPr>
            <w:shd w:fill="F5F5F5" w:val="clear"/>
          </w:tcPr>
          <w:p>
            <w:r>
              <w:t xml:space="preserve">11.1</w:t>
            </w:r>
          </w:p>
        </w:tc>
        <w:tc>
          <w:tcPr>
            <w:shd w:fill="F5F5F5" w:val="clear"/>
          </w:tcPr>
          <w:p>
            <w:r>
              <w:t xml:space="preserve">The Subcontractor shall comply with applicable law and with the Contractor's site rules.</w:t>
            </w:r>
          </w:p>
        </w:tc>
        <w:tc>
          <w:tcPr>
            <w:shd w:fill="F5F5F5" w:val="clear"/>
          </w:tcPr>
          <w:p>
            <w:r>
              <w:t xml:space="preserve">Accepted</w:t>
            </w:r>
          </w:p>
        </w:tc>
        <w:tc>
          <w:tcPr>
            <w:shd w:fill="F5F5F5" w:val="clear"/>
          </w:tcPr>
          <w:p>
            <w:r>
              <w:t xml:space="preserve">Compliance with applicable law and site rules is a standard obligation (TAM-LOG-2025-005 C-043). Acceptable.</w:t>
            </w:r>
          </w:p>
        </w:tc>
        <w:tc>
          <w:tcPr>
            <w:shd w:fill="F5F5F5" w:val="clear"/>
          </w:tcPr>
          <w:p>
            <w:r>
              <w:t xml:space="preserve">TAM-LOG-2025-005:rc-0</w:t>
            </w:r>
          </w:p>
        </w:tc>
      </w:tr>
      <w:tr>
        <w:trPr>
          <w:tblHeader w:val="false"/>
        </w:trPr>
        <w:tc>
          <w:p>
            <w:r>
              <w:t xml:space="preserve">12.1</w:t>
            </w:r>
          </w:p>
        </w:tc>
        <w:tc>
          <w:p>
            <w:r>
              <w:t xml:space="preserve">Either party may terminate for the other's material breach not remedied within 30 days of notice.</w:t>
            </w:r>
          </w:p>
        </w:tc>
        <w:tc>
          <w:p>
            <w:r>
              <w:t xml:space="preserve">Accepted</w:t>
            </w:r>
          </w:p>
        </w:tc>
        <w:tc>
          <w:p>
            <w:r>
              <w:t xml:space="preserve">Mutual termination for material breach with a 30-day cure period is standard (VAN-HC-2024-004 C-038, C-039). Acceptable.</w:t>
            </w:r>
          </w:p>
        </w:tc>
        <w:tc>
          <w:p>
            <w:r>
              <w:t xml:space="preserve">VAN-HC-2024-004:rc-0</w:t>
            </w:r>
          </w:p>
        </w:tc>
      </w:tr>
      <w:tr>
        <w:trPr>
          <w:tblHeader w:val="false"/>
        </w:trPr>
        <w:tc>
          <w:tcPr>
            <w:shd w:fill="F5F5F5" w:val="clear"/>
          </w:tcPr>
          <w:p>
            <w:r>
              <w:t xml:space="preserve">13.1</w:t>
            </w:r>
          </w:p>
        </w:tc>
        <w:tc>
          <w:tcPr>
            <w:shd w:fill="F5F5F5" w:val="clear"/>
          </w:tcPr>
          <w:p>
            <w:r>
              <w:t xml:space="preserve">This Subcontract is governed by the law stated in Part 1.</w:t>
            </w:r>
          </w:p>
        </w:tc>
        <w:tc>
          <w:tcPr>
            <w:shd w:fill="F5F5F5" w:val="clear"/>
          </w:tcPr>
          <w:p>
            <w:r>
              <w:t xml:space="preserve">Accepted</w:t>
            </w:r>
          </w:p>
        </w:tc>
        <w:tc>
          <w:tcPr>
            <w:shd w:fill="F5F5F5" w:val="clear"/>
          </w:tcPr>
          <w:p>
            <w:r>
              <w:t xml:space="preserve">Governing law clause referencing the law stated in Part 1 is consistent and mirrors STO-REST-2022-006 C-001. The law itself (Sweden) was assessed at clause 16.</w:t>
            </w:r>
          </w:p>
        </w:tc>
        <w:tc>
          <w:tcPr>
            <w:shd w:fill="F5F5F5" w:val="clear"/>
          </w:tcPr>
          <w:p>
            <w:r>
              <w:t xml:space="preserve">STO-REST-2022-006:rc-0</w:t>
            </w:r>
          </w:p>
        </w:tc>
      </w:tr>
      <w:tr>
        <w:trPr>
          <w:tblHeader w:val="false"/>
        </w:trPr>
        <w:tc>
          <w:p>
            <w:r>
              <w:t xml:space="preserve">13.2</w:t>
            </w:r>
          </w:p>
        </w:tc>
        <w:tc>
          <w:p>
            <w:r>
              <w:t xml:space="preserve">Any dispute shall be finally resolved by arbitration as stated in Part 1.</w:t>
            </w:r>
          </w:p>
        </w:tc>
        <w:tc>
          <w:p>
            <w:r>
              <w:t xml:space="preserve">Accepted</w:t>
            </w:r>
          </w:p>
        </w:tc>
        <w:tc>
          <w:p>
            <w:r>
              <w:t xml:space="preserve">Arbitration clause referring to the Part 1 provision mirrors STO-REST-2022-006 C-002. The specific arbitration terms were reviewed at clause 17.</w:t>
            </w:r>
          </w:p>
        </w:tc>
        <w:tc>
          <w:p>
            <w:r>
              <w:t xml:space="preserve">STO-REST-2022-006:rc-0</w:t>
            </w:r>
          </w:p>
        </w:tc>
      </w:tr>
      <w:tr>
        <w:trPr>
          <w:tblHeader w:val="false"/>
        </w:trPr>
        <w:tc>
          <w:tcPr>
            <w:shd w:fill="F5F5F5" w:val="clear"/>
          </w:tcPr>
          <w:p>
            <w:r>
              <w:t xml:space="preserve">TP-005.01</w:t>
            </w:r>
          </w:p>
        </w:tc>
        <w:tc>
          <w:tcPr>
            <w:shd w:fill="F5F5F5" w:val="clear"/>
          </w:tcPr>
          <w:p>
            <w:r>
              <w:t xml:space="preserve">Chillers, 4 nr, N+1 configuration	6,842,000</w:t>
            </w:r>
          </w:p>
        </w:tc>
        <w:tc>
          <w:tcPr>
            <w:shd w:fill="F5F5F5" w:val="clear"/>
          </w:tcPr>
          <w:p>
            <w:r>
              <w:t xml:space="preserve">Non-contractual item — no obligations to assess.</w:t>
            </w:r>
          </w:p>
        </w:tc>
        <w:tc>
          <w:tcPr>
            <w:shd w:fill="F5F5F5" w:val="clear"/>
          </w:tcPr>
          <w:p>
            <w:r>
              <w:t xml:space="preserve">This line is a pricing schedule entry (Chillers), not a contractual clause. It contains no obligation, right, or condition.</w:t>
            </w:r>
          </w:p>
        </w:tc>
        <w:tc>
          <w:tcPr>
            <w:shd w:fill="F5F5F5" w:val="clear"/>
          </w:tcPr>
          <w:p>
            <w:r>
              <w:t xml:space="preserve"/>
            </w:r>
          </w:p>
        </w:tc>
      </w:tr>
      <w:tr>
        <w:trPr>
          <w:tblHeader w:val="false"/>
        </w:trPr>
        <w:tc>
          <w:p>
            <w:r>
              <w:t xml:space="preserve">TP-005.02</w:t>
            </w:r>
          </w:p>
        </w:tc>
        <w:tc>
          <w:p>
            <w:r>
              <w:t xml:space="preserve">Dry coolers / adiabatic units, 10 nr	2,914,400</w:t>
            </w:r>
          </w:p>
        </w:tc>
        <w:tc>
          <w:p>
            <w:r>
              <w:t xml:space="preserve">Non-contractual item — no obligations to assess.</w:t>
            </w:r>
          </w:p>
        </w:tc>
        <w:tc>
          <w:p>
            <w:r>
              <w:t xml:space="preserve">This line is a pricing schedule entry (Dry coolers), not a contractual clause.</w:t>
            </w:r>
          </w:p>
        </w:tc>
        <w:tc>
          <w:p>
            <w:r>
              <w:t xml:space="preserve"/>
            </w:r>
          </w:p>
        </w:tc>
      </w:tr>
      <w:tr>
        <w:trPr>
          <w:tblHeader w:val="false"/>
        </w:trPr>
        <w:tc>
          <w:tcPr>
            <w:shd w:fill="F5F5F5" w:val="clear"/>
          </w:tcPr>
          <w:p>
            <w:r>
              <w:t xml:space="preserve">TP-005.03</w:t>
            </w:r>
          </w:p>
        </w:tc>
        <w:tc>
          <w:tcPr>
            <w:shd w:fill="F5F5F5" w:val="clear"/>
          </w:tcPr>
          <w:p>
            <w:r>
              <w:t xml:space="preserve">CRAH units, 7 per hall, N+1	5,120,600</w:t>
            </w:r>
          </w:p>
        </w:tc>
        <w:tc>
          <w:tcPr>
            <w:shd w:fill="F5F5F5" w:val="clear"/>
          </w:tcPr>
          <w:p>
            <w:r>
              <w:t xml:space="preserve">Non-contractual item — no obligations to assess.</w:t>
            </w:r>
          </w:p>
        </w:tc>
        <w:tc>
          <w:tcPr>
            <w:shd w:fill="F5F5F5" w:val="clear"/>
          </w:tcPr>
          <w:p>
            <w:r>
              <w:t xml:space="preserve">This line is a pricing schedule entry (CRAH units), not a contractual clause.</w:t>
            </w:r>
          </w:p>
        </w:tc>
        <w:tc>
          <w:tcPr>
            <w:shd w:fill="F5F5F5" w:val="clear"/>
          </w:tcPr>
          <w:p>
            <w:r>
              <w:t xml:space="preserve"/>
            </w:r>
          </w:p>
        </w:tc>
      </w:tr>
      <w:tr>
        <w:trPr>
          <w:tblHeader w:val="false"/>
        </w:trPr>
        <w:tc>
          <w:p>
            <w:r>
              <w:t xml:space="preserve">TP-005.04</w:t>
            </w:r>
          </w:p>
        </w:tc>
        <w:tc>
          <w:p>
            <w:r>
              <w:t xml:space="preserve">Chilled water pipework, pumps, buffer vessels, glycol dosing	3,988,200</w:t>
            </w:r>
          </w:p>
        </w:tc>
        <w:tc>
          <w:p>
            <w:r>
              <w:t xml:space="preserve">Non-contractual item — no obligations to assess.</w:t>
            </w:r>
          </w:p>
        </w:tc>
        <w:tc>
          <w:p>
            <w:r>
              <w:t xml:space="preserve">This line is a pricing schedule entry (Chilled water pipework), not a contractual clause.</w:t>
            </w:r>
          </w:p>
        </w:tc>
        <w:tc>
          <w:p>
            <w:r>
              <w:t xml:space="preserve"/>
            </w:r>
          </w:p>
        </w:tc>
      </w:tr>
      <w:tr>
        <w:trPr>
          <w:tblHeader w:val="false"/>
        </w:trPr>
        <w:tc>
          <w:tcPr>
            <w:shd w:fill="F5F5F5" w:val="clear"/>
          </w:tcPr>
          <w:p>
            <w:r>
              <w:t xml:space="preserve">TP-005.05</w:t>
            </w:r>
          </w:p>
        </w:tc>
        <w:tc>
          <w:tcPr>
            <w:shd w:fill="F5F5F5" w:val="clear"/>
          </w:tcPr>
          <w:p>
            <w:r>
              <w:t xml:space="preserve">Waste-heat recovery plant, 4 MW at 70 °C to boundary chamber	1,940,000</w:t>
            </w:r>
          </w:p>
        </w:tc>
        <w:tc>
          <w:tcPr>
            <w:shd w:fill="F5F5F5" w:val="clear"/>
          </w:tcPr>
          <w:p>
            <w:r>
              <w:t xml:space="preserve">Non-contractual item — no obligations to assess.</w:t>
            </w:r>
          </w:p>
        </w:tc>
        <w:tc>
          <w:tcPr>
            <w:shd w:fill="F5F5F5" w:val="clear"/>
          </w:tcPr>
          <w:p>
            <w:r>
              <w:t xml:space="preserve">This line is a pricing schedule entry (Waste-heat recovery plant), not a contractual clause. It states a price for a scope item. The performance obligation for waste-heat delivery is governed by Clause 2.2, not this line. No standalone obligation, right, or condition arises from this entry.</w:t>
            </w:r>
          </w:p>
        </w:tc>
        <w:tc>
          <w:tcPr>
            <w:shd w:fill="F5F5F5" w:val="clear"/>
          </w:tcPr>
          <w:p>
            <w:r>
              <w:t xml:space="preserve"/>
            </w:r>
          </w:p>
        </w:tc>
      </w:tr>
      <w:tr>
        <w:trPr>
          <w:tblHeader w:val="false"/>
        </w:trPr>
        <w:tc>
          <w:p>
            <w:r>
              <w:t xml:space="preserve">TP-005.06</w:t>
            </w:r>
          </w:p>
        </w:tc>
        <w:tc>
          <w:p>
            <w:r>
              <w:t xml:space="preserve">Ventilation, smoke extract and comfort cooling to ancillary areas	968,400</w:t>
            </w:r>
          </w:p>
        </w:tc>
        <w:tc>
          <w:p>
            <w:r>
              <w:t xml:space="preserve">Non-contractual item — no obligations to assess.</w:t>
            </w:r>
          </w:p>
        </w:tc>
        <w:tc>
          <w:p>
            <w:r>
              <w:t xml:space="preserve">This line is a pricing schedule entry (Ventilation, smoke extract and comfort cooling), not a contractual clause. No standalone obligation arises.</w:t>
            </w:r>
          </w:p>
        </w:tc>
        <w:tc>
          <w:p>
            <w:r>
              <w:t xml:space="preserve"/>
            </w:r>
          </w:p>
        </w:tc>
      </w:tr>
      <w:tr>
        <w:trPr>
          <w:tblHeader w:val="false"/>
        </w:trPr>
        <w:tc>
          <w:tcPr>
            <w:shd w:fill="F5F5F5" w:val="clear"/>
          </w:tcPr>
          <w:p>
            <w:r>
              <w:t xml:space="preserve">TP-005.07</w:t>
            </w:r>
          </w:p>
        </w:tc>
        <w:tc>
          <w:tcPr>
            <w:shd w:fill="F5F5F5" w:val="clear"/>
          </w:tcPr>
          <w:p>
            <w:r>
              <w:t xml:space="preserve">Water treatment and adiabatic make-up	313,280</w:t>
            </w:r>
          </w:p>
        </w:tc>
        <w:tc>
          <w:tcPr>
            <w:shd w:fill="F5F5F5" w:val="clear"/>
          </w:tcPr>
          <w:p>
            <w:r>
              <w:t xml:space="preserve">Non-contractual item — no obligations to assess.</w:t>
            </w:r>
          </w:p>
        </w:tc>
        <w:tc>
          <w:tcPr>
            <w:shd w:fill="F5F5F5" w:val="clear"/>
          </w:tcPr>
          <w:p>
            <w:r>
              <w:t xml:space="preserve">This line is a pricing schedule entry (Water treatment and adiabatic make-up), not a contractual clause. No standalone obligation arises.</w:t>
            </w:r>
          </w:p>
        </w:tc>
        <w:tc>
          <w:tcPr>
            <w:shd w:fill="F5F5F5" w:val="clear"/>
          </w:tcPr>
          <w:p>
            <w:r>
              <w:t xml:space="preserve"/>
            </w:r>
          </w:p>
        </w:tc>
      </w:tr>
      <w:tr>
        <w:trPr>
          <w:tblHeader w:val="false"/>
        </w:trPr>
        <w:tc>
          <w:p>
            <w:r>
              <w:t xml:space="preserve">TP-005.08</w:t>
            </w:r>
          </w:p>
        </w:tc>
        <w:tc>
          <w:p>
            <w:r>
              <w:t xml:space="preserve">Mechanical commissioning support to L4 and L5	200,000</w:t>
            </w:r>
          </w:p>
        </w:tc>
        <w:tc>
          <w:p>
            <w:r>
              <w:t xml:space="preserve">Non-contractual item — no obligations to assess.</w:t>
            </w:r>
          </w:p>
        </w:tc>
        <w:tc>
          <w:p>
            <w:r>
              <w:t xml:space="preserve">This line is a pricing schedule entry (Mechanical commissioning support to L4 and L5), not a contractual clause. The commissioning obligation is governed by Clause 2.1, not this line. No standalone obligation arises.</w:t>
            </w:r>
          </w:p>
        </w:tc>
        <w:tc>
          <w:p>
            <w:r>
              <w:t xml:space="preserve"/>
            </w:r>
          </w:p>
        </w:tc>
      </w:tr>
    </w:tbl>
    <w:p/>
    <w:p>
      <w:pPr>
        <w:pStyle w:val="Heading1"/>
        <w:pBdr>
          <w:bottom w:val="single" w:color="1F6FB2" w:sz="6"/>
        </w:pBdr>
        <w:spacing w:after="120" w:before="240"/>
      </w:pPr>
      <w:r>
        <w:rPr>
          <w:b/>
          <w:bCs/>
          <w:color w:val="0F2E4C"/>
        </w:rPr>
        <w:t xml:space="preserve">Legal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2E4C" w:val="clear"/>
          </w:tcPr>
          <w:p>
            <w:pPr>
              <w:jc w:val="left"/>
            </w:pPr>
            <w:r>
              <w:rPr>
                <w:b/>
                <w:bCs/>
                <w:color w:val="FFFFFF"/>
              </w:rPr>
              <w:t xml:space="preserve">compliance_status</w:t>
            </w:r>
          </w:p>
        </w:tc>
        <w:tc>
          <w:tcPr>
            <w:shd w:fill="0F2E4C" w:val="clear"/>
          </w:tcPr>
          <w:p>
            <w:pPr>
              <w:jc w:val="left"/>
            </w:pPr>
            <w:r>
              <w:rPr>
                <w:b/>
                <w:bCs/>
                <w:color w:val="FFFFFF"/>
              </w:rPr>
              <w:t xml:space="preserve">legal_basis</w:t>
            </w:r>
          </w:p>
        </w:tc>
        <w:tc>
          <w:tcPr>
            <w:shd w:fill="0F2E4C" w:val="clear"/>
          </w:tcPr>
          <w:p>
            <w:pPr>
              <w:jc w:val="left"/>
            </w:pPr>
            <w:r>
              <w:rPr>
                <w:b/>
                <w:bCs/>
                <w:color w:val="FFFFFF"/>
              </w:rPr>
              <w:t xml:space="preserve">relevant_regulation</w:t>
            </w:r>
          </w:p>
        </w:tc>
        <w:tc>
          <w:tcPr>
            <w:shd w:fill="0F2E4C" w:val="clear"/>
          </w:tcPr>
          <w:p>
            <w:pPr>
              <w:jc w:val="left"/>
            </w:pPr>
            <w:r>
              <w:rPr>
                <w:b/>
                <w:bCs/>
                <w:color w:val="FFFFFF"/>
              </w:rPr>
              <w:t xml:space="preserve">recommendation</w:t>
            </w:r>
          </w:p>
        </w:tc>
        <w:tc>
          <w:tcPr>
            <w:shd w:fill="0F2E4C" w:val="clear"/>
          </w:tcPr>
          <w:p>
            <w:pPr>
              <w:jc w:val="left"/>
            </w:pPr>
            <w:r>
              <w:rPr>
                <w:b/>
                <w:bCs/>
                <w:color w:val="FFFFFF"/>
              </w:rPr>
              <w:t xml:space="preserve">clause_ref</w:t>
            </w:r>
          </w:p>
        </w:tc>
        <w:tc>
          <w:tcPr>
            <w:shd w:fill="0F2E4C" w:val="clear"/>
          </w:tcPr>
          <w:p>
            <w:pPr>
              <w:jc w:val="left"/>
            </w:pPr>
            <w:r>
              <w:rPr>
                <w:b/>
                <w:bCs/>
                <w:color w:val="FFFFFF"/>
              </w:rPr>
              <w:t xml:space="preserve">search_rounds_used</w:t>
            </w:r>
          </w:p>
        </w:tc>
      </w:tr>
      <w:tr>
        <w:trPr>
          <w:tblHeader w:val="false"/>
        </w:trPr>
        <w:tc>
          <w:p>
            <w:r>
              <w:t xml:space="preserve">Potentially Non-Compliant</w:t>
            </w:r>
          </w:p>
        </w:tc>
        <w:tc>
          <w:p>
            <w:r>
              <w:t xml:space="preserve">Under Finnish law, liquidated damages clauses are generally enforceable but subject to the general reasonableness test in Section 36 of the Contracts Act (1929/228). A fixed daily amount with no aggrâ€¦</w:t>
            </w:r>
          </w:p>
        </w:tc>
        <w:tc>
          <w:p>
            <w:r>
              <w:t xml:space="preserve">Contracts Act (13.6.1929/228), Section 36</w:t>
            </w:r>
          </w:p>
        </w:tc>
        <w:tc>
          <w:p>
            <w:r>
              <w:t xml:space="preserve">To reduce the risk of the clause being deemed unreasonable and adjusted by a Finnish court, add an aggregate cap on liquidated damages (e.g., a percentage of the contract value, commonly 10%) and conâ€¦</w:t>
            </w:r>
          </w:p>
        </w:tc>
        <w:tc>
          <w:p>
            <w:r>
              <w:t xml:space="preserve">Liquidated damages for delay (clause index 6) and Aggregate limit on liquidated damages (clause index 7 and 30)</w:t>
            </w:r>
          </w:p>
        </w:tc>
        <w:tc>
          <w:p>
            <w:r>
              <w:t xml:space="preserve">1</w:t>
            </w:r>
          </w:p>
        </w:tc>
      </w:tr>
      <w:tr>
        <w:trPr>
          <w:tblHeader w:val="false"/>
        </w:trPr>
        <w:tc>
          <w:tcPr>
            <w:shd w:fill="F5F5F5" w:val="clear"/>
          </w:tcPr>
          <w:p>
            <w:r>
              <w:t xml:space="preserve">Compliant</w:t>
            </w:r>
          </w:p>
        </w:tc>
        <w:tc>
          <w:tcPr>
            <w:shd w:fill="F5F5F5" w:val="clear"/>
          </w:tcPr>
          <w:p>
            <w:r>
              <w:t xml:space="preserve">Under Finnish law, the default payment period in commercial contracts is 30 days from the invoice date. The Act on Payment Terms in Commercial Contracts (219/2011) allows parties to agree on a longerâ€¦</w:t>
            </w:r>
          </w:p>
        </w:tc>
        <w:tc>
          <w:tcPr>
            <w:shd w:fill="F5F5F5" w:val="clear"/>
          </w:tcPr>
          <w:p>
            <w:r>
              <w:t xml:space="preserve">Laki kaupallisten sopimusten maksuehdoista 219/2011, 2 §</w:t>
            </w:r>
          </w:p>
        </w:tc>
        <w:tc>
          <w:tcPr>
            <w:shd w:fill="F5F5F5" w:val="clear"/>
          </w:tcPr>
          <w:p>
            <w:r>
              <w:t xml:space="preserve">The clause sets the payment period at the statutory maximum of 60 days, which is compliant as long as the term is not clearly unfair to the subcontractor and is recorded in writing. To minimize risk,â€¦</w:t>
            </w:r>
          </w:p>
        </w:tc>
        <w:tc>
          <w:tcPr>
            <w:shd w:fill="F5F5F5" w:val="clear"/>
          </w:tcPr>
          <w:p>
            <w:r>
              <w:t xml:space="preserve">Period for payment (clause index 10)</w:t>
            </w:r>
          </w:p>
        </w:tc>
        <w:tc>
          <w:tcPr>
            <w:shd w:fill="F5F5F5" w:val="clear"/>
          </w:tcPr>
          <w:p>
            <w:r>
              <w:t xml:space="preserve">1</w:t>
            </w:r>
          </w:p>
        </w:tc>
      </w:tr>
      <w:tr>
        <w:trPr>
          <w:tblHeader w:val="false"/>
        </w:trPr>
        <w:tc>
          <w:p>
            <w:r>
              <w:t xml:space="preserve">Potentially Non-Compliant</w:t>
            </w:r>
          </w:p>
        </w:tc>
        <w:tc>
          <w:p>
            <w:r>
              <w:t xml:space="preserve">Under Finnish law, the Act on Unfair Contract Terms in Business-to-Business Contracts (1255/1993) allows courts to adjust or set aside contractual terms that are unreasonable or lead to unfair outcomâ€¦</w:t>
            </w:r>
          </w:p>
        </w:tc>
        <w:tc>
          <w:p>
            <w:r>
              <w:t xml:space="preserve">Laki sopimattomien sopimusehtojen sääntelystä elinkeinonharjoittajien välisissä sopimuksissa (1255/1993), 1 §</w:t>
            </w:r>
          </w:p>
        </w:tc>
        <w:tc>
          <w:p>
            <w:r>
              <w:t xml:space="preserve">The clause risks being declared unfair under Section 1 of the Act on Unfair Contract Terms in Business-to-Business Contracts. To reduce the risk of invalidity, amend the clause to: (i) extend the negâ€¦</w:t>
            </w:r>
          </w:p>
        </w:tc>
        <w:tc>
          <w:p>
            <w:r>
              <w:t xml:space="preserve">Variation valuation and suspension right (clause index 37)</w:t>
            </w:r>
          </w:p>
        </w:tc>
        <w:tc>
          <w:p>
            <w:r>
              <w:t xml:space="preserve">1</w:t>
            </w:r>
          </w:p>
        </w:tc>
      </w:tr>
      <w:tr>
        <w:trPr>
          <w:tblHeader w:val="false"/>
        </w:trPr>
        <w:tc>
          <w:tcPr>
            <w:shd w:fill="F5F5F5" w:val="clear"/>
          </w:tcPr>
          <w:p>
            <w:r>
              <w:t xml:space="preserve">Potentially Non-Compliant</w:t>
            </w:r>
          </w:p>
        </w:tc>
        <w:tc>
          <w:tcPr>
            <w:shd w:fill="F5F5F5" w:val="clear"/>
          </w:tcPr>
          <w:p>
            <w:r>
              <w:t xml:space="preserve">Under Finnish law, parties to a commercial subcontract are generally free to agree on liability limitations, including a cap of 50% of the subcontract sum. However, a contractual limitation clause maâ€¦</w:t>
            </w:r>
          </w:p>
        </w:tc>
        <w:tc>
          <w:tcPr>
            <w:shd w:fill="F5F5F5" w:val="clear"/>
          </w:tcPr>
          <w:p>
            <w:r>
              <w:t xml:space="preserve">Vahingonkorvauslaki (412/1974), Section 3; Laki varallisuusoikeudellisista oikeustoimista (228/1929), Section 36</w:t>
            </w:r>
          </w:p>
        </w:tc>
        <w:tc>
          <w:tcPr>
            <w:shd w:fill="F5F5F5" w:val="clear"/>
          </w:tcPr>
          <w:p>
            <w:r>
              <w:t xml:space="preserve">Add explicit exclusions for liability resulting from gross negligence and intentional misconduct. Assess whether the 50% figure is proportionate to the subcontractor’s scope of work and risk exposureâ€¦</w:t>
            </w:r>
          </w:p>
        </w:tc>
        <w:tc>
          <w:tcPr>
            <w:shd w:fill="F5F5F5" w:val="clear"/>
          </w:tcPr>
          <w:p>
            <w:r>
              <w:t xml:space="preserve">Limit of the Subcontractor's liability (clause index 12)</w:t>
            </w:r>
          </w:p>
        </w:tc>
        <w:tc>
          <w:tcPr>
            <w:shd w:fill="F5F5F5" w:val="clear"/>
          </w:tcPr>
          <w:p>
            <w:r>
              <w:t xml:space="preserve">1</w:t>
            </w:r>
          </w:p>
        </w:tc>
      </w:tr>
    </w:tbl>
    <w:p/>
    <w:p>
      <w:pPr>
        <w:pStyle w:val="Heading1"/>
        <w:pBdr>
          <w:bottom w:val="single" w:color="1F6FB2" w:sz="6"/>
        </w:pBdr>
        <w:spacing w:after="120" w:before="240"/>
      </w:pPr>
      <w:r>
        <w:rPr>
          <w:b/>
          <w:bCs/>
          <w:color w:val="0F2E4C"/>
        </w:rPr>
        <w:t xml:space="preserve">Grounding Gate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2E4C" w:val="clear"/>
          </w:tcPr>
          <w:p>
            <w:pPr>
              <w:jc w:val="left"/>
            </w:pPr>
            <w:r>
              <w:rPr>
                <w:b/>
                <w:bCs/>
                <w:color w:val="FFFFFF"/>
              </w:rPr>
              <w:t xml:space="preserve">Verdict</w:t>
            </w:r>
          </w:p>
        </w:tc>
        <w:tc>
          <w:tcPr>
            <w:shd w:fill="0F2E4C" w:val="clear"/>
          </w:tcPr>
          <w:p>
            <w:pPr>
              <w:jc w:val="left"/>
            </w:pPr>
            <w:r>
              <w:rPr>
                <w:b/>
                <w:bCs/>
                <w:color w:val="FFFFFF"/>
              </w:rPr>
              <w:t xml:space="preserve">Grounded</w:t>
            </w:r>
          </w:p>
        </w:tc>
        <w:tc>
          <w:tcPr>
            <w:shd w:fill="0F2E4C" w:val="clear"/>
          </w:tcPr>
          <w:p>
            <w:pPr>
              <w:jc w:val="left"/>
            </w:pPr>
            <w:r>
              <w:rPr>
                <w:b/>
                <w:bCs/>
                <w:color w:val="FFFFFF"/>
              </w:rPr>
              <w:t xml:space="preserve">Flagged</w:t>
            </w:r>
          </w:p>
        </w:tc>
        <w:tc>
          <w:tcPr>
            <w:shd w:fill="0F2E4C" w:val="clear"/>
          </w:tcPr>
          <w:p>
            <w:pPr>
              <w:jc w:val="left"/>
            </w:pPr>
            <w:r>
              <w:rPr>
                <w:b/>
                <w:bCs/>
                <w:color w:val="FFFFFF"/>
              </w:rPr>
              <w:t xml:space="preserve">Total</w:t>
            </w:r>
          </w:p>
        </w:tc>
      </w:tr>
      <w:tr>
        <w:trPr>
          <w:tblHeader w:val="false"/>
        </w:trPr>
        <w:tc>
          <w:p>
            <w:r>
              <w:t xml:space="preserve">accept</w:t>
            </w:r>
          </w:p>
        </w:tc>
        <w:tc>
          <w:p>
            <w:r>
              <w:t xml:space="preserve">39</w:t>
            </w:r>
          </w:p>
        </w:tc>
        <w:tc>
          <w:p>
            <w:r>
              <w:t xml:space="preserve">0</w:t>
            </w:r>
          </w:p>
        </w:tc>
        <w:tc>
          <w:p>
            <w:r>
              <w:t xml:space="preserve">55</w:t>
            </w:r>
          </w:p>
        </w:tc>
      </w:tr>
    </w:tbl>
    <w:p/>
    <w:p>
      <w:pPr>
        <w:pStyle w:val="Heading1"/>
        <w:pBdr>
          <w:bottom w:val="single" w:color="1F6FB2" w:sz="6"/>
        </w:pBdr>
        <w:spacing w:after="120" w:before="240"/>
      </w:pPr>
      <w:r>
        <w:rPr>
          <w:b/>
          <w:bCs/>
          <w:color w:val="0F2E4C"/>
        </w:rPr>
        <w:t xml:space="preserve">Notes</w:t>
      </w:r>
    </w:p>
    <w:p>
      <w:pPr>
        <w:spacing w:after="120"/>
      </w:pPr>
      <w:r>
        <w:t xml:space="preserve">All 55 clause units analysed. Part 2 (Conditions, Clauses 1–13) present and reviewed in full. 17 issues: 5 CRITICAL, 8 HIGH, 4 MEDIUM. reviewer-approved.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C1C1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2026-08-03T15:53:03.935Z</dcterms:created>
  <dcterms:modified xsi:type="dcterms:W3CDTF">2026-08-03T15:53:03.935Z</dcterms:modified>
</cp:coreProperties>
</file>

<file path=docProps/custom.xml><?xml version="1.0" encoding="utf-8"?>
<Properties xmlns="http://schemas.openxmlformats.org/officeDocument/2006/custom-properties" xmlns:vt="http://schemas.openxmlformats.org/officeDocument/2006/docPropsVTypes"/>
</file>