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SUBCONTRACT AGREEMENT — TP-005 MECHANICAL</w:t>
      </w:r>
    </w:p>
    <w:p>
      <w:r>
        <w:rPr>
          <w:b/>
        </w:rPr>
        <w:t>Subcontract reference:</w:t>
      </w:r>
      <w:r>
        <w:t xml:space="preserve"> PDC-SUB-005 · Revision 0 · issued for review</w:t>
      </w:r>
    </w:p>
    <w:p>
      <w:r>
        <w:rPr>
          <w:b/>
        </w:rPr>
        <w:t>Project:</w:t>
      </w:r>
      <w:r>
        <w:t xml:space="preserve"> Polaris DC-1 — Aviapolis Data Campus, Phase 1, Vantaa</w:t>
      </w:r>
    </w:p>
    <w:p>
      <w:r>
        <w:rPr>
          <w:b/>
        </w:rPr>
        <w:t>Contractor:</w:t>
      </w:r>
      <w:r>
        <w:t xml:space="preserve"> NordBuild Oy, Business ID 1998442-1, Helsinki</w:t>
      </w:r>
    </w:p>
    <w:p>
      <w:r>
        <w:rPr>
          <w:b/>
        </w:rPr>
        <w:t>Subcontractor:</w:t>
      </w:r>
      <w:r>
        <w:t xml:space="preserve"> Ilmatek LVI Oy, Business ID 2884113-9, Vantaa</w:t>
      </w:r>
    </w:p>
    <w:p>
      <w:r>
        <w:rPr>
          <w:b/>
        </w:rPr>
        <w:t>Package:</w:t>
      </w:r>
      <w:r>
        <w:t xml:space="preserve"> TP-005 — Chillers, dry coolers, CRAH units and chilled water pipework</w:t>
      </w:r>
    </w:p>
    <w:p>
      <w:r>
        <w:rPr>
          <w:b/>
        </w:rPr>
        <w:t>Date of issue:</w:t>
      </w:r>
      <w:r>
        <w:t xml:space="preserve"> 8 April 2026</w:t>
      </w:r>
    </w:p>
    <w:p>
      <w:pPr>
        <w:pStyle w:val="IntenseQuote"/>
      </w:pPr>
      <w:r>
        <w:t>Synthetic demonstration data. All parties and values are fictional.</w:t>
      </w:r>
    </w:p>
    <w:p>
      <w:r>
        <w:rPr>
          <w:color w:val="BBBBBB"/>
        </w:rPr>
        <w:t>____________________________________________________________</w:t>
      </w:r>
    </w:p>
    <w:p>
      <w:pPr>
        <w:pStyle w:val="Heading2"/>
      </w:pPr>
      <w:r>
        <w:t>READING INSTRUCTIONS</w:t>
      </w:r>
    </w:p>
    <w:p>
      <w:r>
        <w:t>This is the Subcontractor's own draft, returned in response to the Contractor's letter of award of 2 April 2026. It has been prepared by the Subcontractor's commercial department on their standard form and is submitted for the Contractor's review before execution.</w:t>
      </w:r>
    </w:p>
    <w:p>
      <w:r>
        <w:t>The Main Contract is the FIDIC Yellow Book 2017 as amended by the Particular Conditions PDC-PC-001 Revision C, between Polaris Digital Infrastructure Oy as Employer and NordBuild Oy as Contractor.</w:t>
      </w:r>
    </w:p>
    <w:p>
      <w:r>
        <w:rPr>
          <w:color w:val="BBBBBB"/>
        </w:rPr>
        <w:t>____________________________________________________________</w:t>
      </w:r>
    </w:p>
    <w:p>
      <w:pPr>
        <w:pStyle w:val="Heading1"/>
      </w:pPr>
      <w:r>
        <w:t>PART 1 — SUBCONTRACT PARTICULARS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Item</w:t>
            </w:r>
          </w:p>
        </w:tc>
        <w:tc>
          <w:tcPr>
            <w:tcW w:type="dxa" w:w="4320"/>
          </w:tcPr>
          <w:p>
            <w:r>
              <w:rPr>
                <w:rFonts w:ascii="Arial" w:hAnsi="Arial"/>
                <w:b/>
                <w:sz w:val="17"/>
              </w:rPr>
            </w:r>
            <w:r>
              <w:rPr>
                <w:rFonts w:ascii="Arial" w:hAnsi="Arial"/>
                <w:b/>
                <w:sz w:val="17"/>
              </w:rPr>
              <w:t>Data</w:t>
            </w:r>
          </w:p>
        </w:tc>
      </w:tr>
      <w:tr>
        <w:tc>
          <w:tcPr>
            <w:tcW w:type="dxa" w:w="4320"/>
          </w:tcPr>
          <w:p>
            <w:r>
              <w:rPr>
                <w:rFonts w:ascii="Arial" w:hAnsi="Arial"/>
                <w:sz w:val="17"/>
              </w:rPr>
            </w:r>
            <w:r>
              <w:rPr>
                <w:rFonts w:ascii="Arial" w:hAnsi="Arial"/>
                <w:sz w:val="17"/>
              </w:rPr>
              <w:t>Subcontract Sum (excluding VAT)</w:t>
            </w:r>
          </w:p>
        </w:tc>
        <w:tc>
          <w:tcPr>
            <w:tcW w:type="dxa" w:w="4320"/>
          </w:tcPr>
          <w:p>
            <w:r>
              <w:rPr>
                <w:rFonts w:ascii="Arial" w:hAnsi="Arial"/>
                <w:sz w:val="17"/>
              </w:rPr>
            </w:r>
            <w:r>
              <w:rPr>
                <w:rFonts w:ascii="Arial" w:hAnsi="Arial"/>
                <w:b/>
                <w:sz w:val="17"/>
              </w:rPr>
              <w:t>EUR 22,286,880</w:t>
            </w:r>
          </w:p>
        </w:tc>
      </w:tr>
      <w:tr>
        <w:tc>
          <w:tcPr>
            <w:tcW w:type="dxa" w:w="4320"/>
          </w:tcPr>
          <w:p>
            <w:r>
              <w:rPr>
                <w:rFonts w:ascii="Arial" w:hAnsi="Arial"/>
                <w:sz w:val="17"/>
              </w:rPr>
            </w:r>
            <w:r>
              <w:rPr>
                <w:rFonts w:ascii="Arial" w:hAnsi="Arial"/>
                <w:sz w:val="17"/>
              </w:rPr>
              <w:t>Currency</w:t>
            </w:r>
          </w:p>
        </w:tc>
        <w:tc>
          <w:tcPr>
            <w:tcW w:type="dxa" w:w="4320"/>
          </w:tcPr>
          <w:p>
            <w:r>
              <w:rPr>
                <w:rFonts w:ascii="Arial" w:hAnsi="Arial"/>
                <w:sz w:val="17"/>
              </w:rPr>
            </w:r>
            <w:r>
              <w:rPr>
                <w:rFonts w:ascii="Arial" w:hAnsi="Arial"/>
                <w:sz w:val="17"/>
              </w:rPr>
              <w:t>EUR</w:t>
            </w:r>
          </w:p>
        </w:tc>
      </w:tr>
      <w:tr>
        <w:tc>
          <w:tcPr>
            <w:tcW w:type="dxa" w:w="4320"/>
          </w:tcPr>
          <w:p>
            <w:r>
              <w:rPr>
                <w:rFonts w:ascii="Arial" w:hAnsi="Arial"/>
                <w:sz w:val="17"/>
              </w:rPr>
            </w:r>
            <w:r>
              <w:rPr>
                <w:rFonts w:ascii="Arial" w:hAnsi="Arial"/>
                <w:sz w:val="17"/>
              </w:rPr>
              <w:t>Form of subcontract</w:t>
            </w:r>
          </w:p>
        </w:tc>
        <w:tc>
          <w:tcPr>
            <w:tcW w:type="dxa" w:w="4320"/>
          </w:tcPr>
          <w:p>
            <w:r>
              <w:rPr>
                <w:rFonts w:ascii="Arial" w:hAnsi="Arial"/>
                <w:sz w:val="17"/>
              </w:rPr>
            </w:r>
            <w:r>
              <w:rPr>
                <w:rFonts w:ascii="Arial" w:hAnsi="Arial"/>
                <w:sz w:val="17"/>
              </w:rPr>
              <w:t>The Subcontractor's standard conditions, as set out in Part 2</w:t>
            </w:r>
          </w:p>
        </w:tc>
      </w:tr>
      <w:tr>
        <w:tc>
          <w:tcPr>
            <w:tcW w:type="dxa" w:w="4320"/>
          </w:tcPr>
          <w:p>
            <w:r>
              <w:rPr>
                <w:rFonts w:ascii="Arial" w:hAnsi="Arial"/>
                <w:sz w:val="17"/>
              </w:rPr>
            </w:r>
            <w:r>
              <w:rPr>
                <w:rFonts w:ascii="Arial" w:hAnsi="Arial"/>
                <w:sz w:val="17"/>
              </w:rPr>
              <w:t>Date for commencement</w:t>
            </w:r>
          </w:p>
        </w:tc>
        <w:tc>
          <w:tcPr>
            <w:tcW w:type="dxa" w:w="4320"/>
          </w:tcPr>
          <w:p>
            <w:r>
              <w:rPr>
                <w:rFonts w:ascii="Arial" w:hAnsi="Arial"/>
                <w:sz w:val="17"/>
              </w:rPr>
            </w:r>
            <w:r>
              <w:rPr>
                <w:rFonts w:ascii="Arial" w:hAnsi="Arial"/>
                <w:sz w:val="17"/>
              </w:rPr>
              <w:t>Within 10 working days of the Contractor's instruction to proceed</w:t>
            </w:r>
          </w:p>
        </w:tc>
      </w:tr>
      <w:tr>
        <w:tc>
          <w:tcPr>
            <w:tcW w:type="dxa" w:w="4320"/>
          </w:tcPr>
          <w:p>
            <w:r>
              <w:rPr>
                <w:rFonts w:ascii="Arial" w:hAnsi="Arial"/>
                <w:sz w:val="17"/>
              </w:rPr>
            </w:r>
            <w:r>
              <w:rPr>
                <w:rFonts w:ascii="Arial" w:hAnsi="Arial"/>
                <w:sz w:val="17"/>
              </w:rPr>
              <w:t>Period for completion</w:t>
            </w:r>
          </w:p>
        </w:tc>
        <w:tc>
          <w:tcPr>
            <w:tcW w:type="dxa" w:w="4320"/>
          </w:tcPr>
          <w:p>
            <w:r>
              <w:rPr>
                <w:rFonts w:ascii="Arial" w:hAnsi="Arial"/>
                <w:sz w:val="17"/>
              </w:rPr>
            </w:r>
            <w:r>
              <w:rPr>
                <w:rFonts w:ascii="Arial" w:hAnsi="Arial"/>
                <w:b/>
                <w:sz w:val="17"/>
              </w:rPr>
              <w:t>48 weeks from the date of instruction</w:t>
            </w:r>
          </w:p>
        </w:tc>
      </w:tr>
      <w:tr>
        <w:tc>
          <w:tcPr>
            <w:tcW w:type="dxa" w:w="4320"/>
          </w:tcPr>
          <w:p>
            <w:r>
              <w:rPr>
                <w:rFonts w:ascii="Arial" w:hAnsi="Arial"/>
                <w:sz w:val="17"/>
              </w:rPr>
            </w:r>
            <w:r>
              <w:rPr>
                <w:rFonts w:ascii="Arial" w:hAnsi="Arial"/>
                <w:sz w:val="17"/>
              </w:rPr>
              <w:t>Date for completion</w:t>
            </w:r>
          </w:p>
        </w:tc>
        <w:tc>
          <w:tcPr>
            <w:tcW w:type="dxa" w:w="4320"/>
          </w:tcPr>
          <w:p>
            <w:r>
              <w:rPr>
                <w:rFonts w:ascii="Arial" w:hAnsi="Arial"/>
                <w:sz w:val="17"/>
              </w:rPr>
            </w:r>
            <w:r>
              <w:rPr>
                <w:rFonts w:ascii="Arial" w:hAnsi="Arial"/>
                <w:b/>
                <w:sz w:val="17"/>
              </w:rPr>
              <w:t>6 March 2027</w:t>
            </w:r>
            <w:r>
              <w:rPr>
                <w:rFonts w:ascii="Arial" w:hAnsi="Arial"/>
                <w:sz w:val="17"/>
              </w:rPr>
              <w:t>, being 48 weeks from the anticipated instruction date</w:t>
            </w:r>
          </w:p>
        </w:tc>
      </w:tr>
      <w:tr>
        <w:tc>
          <w:tcPr>
            <w:tcW w:type="dxa" w:w="4320"/>
          </w:tcPr>
          <w:p>
            <w:r>
              <w:rPr>
                <w:rFonts w:ascii="Arial" w:hAnsi="Arial"/>
                <w:sz w:val="17"/>
              </w:rPr>
            </w:r>
            <w:r>
              <w:rPr>
                <w:rFonts w:ascii="Arial" w:hAnsi="Arial"/>
                <w:sz w:val="17"/>
              </w:rPr>
              <w:t>Liquidated damages for delay</w:t>
            </w:r>
          </w:p>
        </w:tc>
        <w:tc>
          <w:tcPr>
            <w:tcW w:type="dxa" w:w="4320"/>
          </w:tcPr>
          <w:p>
            <w:r>
              <w:rPr>
                <w:rFonts w:ascii="Arial" w:hAnsi="Arial"/>
                <w:sz w:val="17"/>
              </w:rPr>
            </w:r>
            <w:r>
              <w:rPr>
                <w:rFonts w:ascii="Arial" w:hAnsi="Arial"/>
                <w:b/>
                <w:sz w:val="17"/>
              </w:rPr>
              <w:t>EUR 15,000 per calendar day</w:t>
            </w:r>
          </w:p>
        </w:tc>
      </w:tr>
      <w:tr>
        <w:tc>
          <w:tcPr>
            <w:tcW w:type="dxa" w:w="4320"/>
          </w:tcPr>
          <w:p>
            <w:r>
              <w:rPr>
                <w:rFonts w:ascii="Arial" w:hAnsi="Arial"/>
                <w:sz w:val="17"/>
              </w:rPr>
            </w:r>
            <w:r>
              <w:rPr>
                <w:rFonts w:ascii="Arial" w:hAnsi="Arial"/>
                <w:sz w:val="17"/>
              </w:rPr>
              <w:t>Aggregate limit on liquidated damages</w:t>
            </w:r>
          </w:p>
        </w:tc>
        <w:tc>
          <w:tcPr>
            <w:tcW w:type="dxa" w:w="4320"/>
          </w:tcPr>
          <w:p>
            <w:r>
              <w:rPr>
                <w:rFonts w:ascii="Arial" w:hAnsi="Arial"/>
                <w:sz w:val="17"/>
              </w:rPr>
            </w:r>
            <w:r>
              <w:rPr>
                <w:rFonts w:ascii="Arial" w:hAnsi="Arial"/>
                <w:b/>
                <w:sz w:val="17"/>
              </w:rPr>
              <w:t>None</w:t>
            </w:r>
          </w:p>
        </w:tc>
      </w:tr>
      <w:tr>
        <w:tc>
          <w:tcPr>
            <w:tcW w:type="dxa" w:w="4320"/>
          </w:tcPr>
          <w:p>
            <w:r>
              <w:rPr>
                <w:rFonts w:ascii="Arial" w:hAnsi="Arial"/>
                <w:sz w:val="17"/>
              </w:rPr>
            </w:r>
            <w:r>
              <w:rPr>
                <w:rFonts w:ascii="Arial" w:hAnsi="Arial"/>
                <w:sz w:val="17"/>
              </w:rPr>
              <w:t>Retention</w:t>
            </w:r>
          </w:p>
        </w:tc>
        <w:tc>
          <w:tcPr>
            <w:tcW w:type="dxa" w:w="4320"/>
          </w:tcPr>
          <w:p>
            <w:r>
              <w:rPr>
                <w:rFonts w:ascii="Arial" w:hAnsi="Arial"/>
                <w:sz w:val="17"/>
              </w:rPr>
            </w:r>
            <w:r>
              <w:rPr>
                <w:rFonts w:ascii="Arial" w:hAnsi="Arial"/>
                <w:b/>
                <w:sz w:val="17"/>
              </w:rPr>
              <w:t>10% of each payment</w:t>
            </w:r>
            <w:r>
              <w:rPr>
                <w:rFonts w:ascii="Arial" w:hAnsi="Arial"/>
                <w:sz w:val="17"/>
              </w:rPr>
              <w:t>, released in full on completion of the Subcontract Works</w:t>
            </w:r>
          </w:p>
        </w:tc>
      </w:tr>
      <w:tr>
        <w:tc>
          <w:tcPr>
            <w:tcW w:type="dxa" w:w="4320"/>
          </w:tcPr>
          <w:p>
            <w:r>
              <w:rPr>
                <w:rFonts w:ascii="Arial" w:hAnsi="Arial"/>
                <w:sz w:val="17"/>
              </w:rPr>
            </w:r>
            <w:r>
              <w:rPr>
                <w:rFonts w:ascii="Arial" w:hAnsi="Arial"/>
                <w:sz w:val="17"/>
              </w:rPr>
              <w:t>Advance payment</w:t>
            </w:r>
          </w:p>
        </w:tc>
        <w:tc>
          <w:tcPr>
            <w:tcW w:type="dxa" w:w="4320"/>
          </w:tcPr>
          <w:p>
            <w:r>
              <w:rPr>
                <w:rFonts w:ascii="Arial" w:hAnsi="Arial"/>
                <w:sz w:val="17"/>
              </w:rPr>
            </w:r>
            <w:r>
              <w:rPr>
                <w:rFonts w:ascii="Arial" w:hAnsi="Arial"/>
                <w:sz w:val="17"/>
              </w:rPr>
              <w:t>10% of the Subcontract Sum against an advance payment guarantee, repaid by deduction of 12% from each payment</w:t>
            </w:r>
          </w:p>
        </w:tc>
      </w:tr>
      <w:tr>
        <w:tc>
          <w:tcPr>
            <w:tcW w:type="dxa" w:w="4320"/>
          </w:tcPr>
          <w:p>
            <w:r>
              <w:rPr>
                <w:rFonts w:ascii="Arial" w:hAnsi="Arial"/>
                <w:sz w:val="17"/>
              </w:rPr>
            </w:r>
            <w:r>
              <w:rPr>
                <w:rFonts w:ascii="Arial" w:hAnsi="Arial"/>
                <w:sz w:val="17"/>
              </w:rPr>
              <w:t>Period for payment</w:t>
            </w:r>
          </w:p>
        </w:tc>
        <w:tc>
          <w:tcPr>
            <w:tcW w:type="dxa" w:w="4320"/>
          </w:tcPr>
          <w:p>
            <w:r>
              <w:rPr>
                <w:rFonts w:ascii="Arial" w:hAnsi="Arial"/>
                <w:sz w:val="17"/>
              </w:rPr>
            </w:r>
            <w:r>
              <w:rPr>
                <w:rFonts w:ascii="Arial" w:hAnsi="Arial"/>
                <w:b/>
                <w:sz w:val="17"/>
              </w:rPr>
              <w:t>60 days from the date of the Subcontractor's invoice</w:t>
            </w:r>
          </w:p>
        </w:tc>
      </w:tr>
      <w:tr>
        <w:tc>
          <w:tcPr>
            <w:tcW w:type="dxa" w:w="4320"/>
          </w:tcPr>
          <w:p>
            <w:r>
              <w:rPr>
                <w:rFonts w:ascii="Arial" w:hAnsi="Arial"/>
                <w:sz w:val="17"/>
              </w:rPr>
            </w:r>
            <w:r>
              <w:rPr>
                <w:rFonts w:ascii="Arial" w:hAnsi="Arial"/>
                <w:sz w:val="17"/>
              </w:rPr>
              <w:t>Defects liability period</w:t>
            </w:r>
          </w:p>
        </w:tc>
        <w:tc>
          <w:tcPr>
            <w:tcW w:type="dxa" w:w="4320"/>
          </w:tcPr>
          <w:p>
            <w:r>
              <w:rPr>
                <w:rFonts w:ascii="Arial" w:hAnsi="Arial"/>
                <w:sz w:val="17"/>
              </w:rPr>
            </w:r>
            <w:r>
              <w:rPr>
                <w:rFonts w:ascii="Arial" w:hAnsi="Arial"/>
                <w:b/>
                <w:sz w:val="17"/>
              </w:rPr>
              <w:t>12 months from completion of the Subcontract Works</w:t>
            </w:r>
          </w:p>
        </w:tc>
      </w:tr>
      <w:tr>
        <w:tc>
          <w:tcPr>
            <w:tcW w:type="dxa" w:w="4320"/>
          </w:tcPr>
          <w:p>
            <w:r>
              <w:rPr>
                <w:rFonts w:ascii="Arial" w:hAnsi="Arial"/>
                <w:sz w:val="17"/>
              </w:rPr>
            </w:r>
            <w:r>
              <w:rPr>
                <w:rFonts w:ascii="Arial" w:hAnsi="Arial"/>
                <w:sz w:val="17"/>
              </w:rPr>
              <w:t>Limit of the Subcontractor's liability</w:t>
            </w:r>
          </w:p>
        </w:tc>
        <w:tc>
          <w:tcPr>
            <w:tcW w:type="dxa" w:w="4320"/>
          </w:tcPr>
          <w:p>
            <w:r>
              <w:rPr>
                <w:rFonts w:ascii="Arial" w:hAnsi="Arial"/>
                <w:sz w:val="17"/>
              </w:rPr>
            </w:r>
            <w:r>
              <w:rPr>
                <w:rFonts w:ascii="Arial" w:hAnsi="Arial"/>
                <w:b/>
                <w:sz w:val="17"/>
              </w:rPr>
              <w:t>50% of the Subcontract Sum</w:t>
            </w:r>
          </w:p>
        </w:tc>
      </w:tr>
      <w:tr>
        <w:tc>
          <w:tcPr>
            <w:tcW w:type="dxa" w:w="4320"/>
          </w:tcPr>
          <w:p>
            <w:r>
              <w:rPr>
                <w:rFonts w:ascii="Arial" w:hAnsi="Arial"/>
                <w:sz w:val="17"/>
              </w:rPr>
            </w:r>
            <w:r>
              <w:rPr>
                <w:rFonts w:ascii="Arial" w:hAnsi="Arial"/>
                <w:sz w:val="17"/>
              </w:rPr>
              <w:t>Professional indemnity insurance</w:t>
            </w:r>
          </w:p>
        </w:tc>
        <w:tc>
          <w:tcPr>
            <w:tcW w:type="dxa" w:w="4320"/>
          </w:tcPr>
          <w:p>
            <w:r>
              <w:rPr>
                <w:rFonts w:ascii="Arial" w:hAnsi="Arial"/>
                <w:sz w:val="17"/>
              </w:rPr>
            </w:r>
            <w:r>
              <w:rPr>
                <w:rFonts w:ascii="Arial" w:hAnsi="Arial"/>
                <w:b/>
                <w:sz w:val="17"/>
              </w:rPr>
              <w:t>EUR 2,000,000 each and every claim, maintained for 3 years from completion</w:t>
            </w:r>
          </w:p>
        </w:tc>
      </w:tr>
      <w:tr>
        <w:tc>
          <w:tcPr>
            <w:tcW w:type="dxa" w:w="4320"/>
          </w:tcPr>
          <w:p>
            <w:r>
              <w:rPr>
                <w:rFonts w:ascii="Arial" w:hAnsi="Arial"/>
                <w:sz w:val="17"/>
              </w:rPr>
            </w:r>
            <w:r>
              <w:rPr>
                <w:rFonts w:ascii="Arial" w:hAnsi="Arial"/>
                <w:sz w:val="17"/>
              </w:rPr>
              <w:t>Third party liability insurance</w:t>
            </w:r>
          </w:p>
        </w:tc>
        <w:tc>
          <w:tcPr>
            <w:tcW w:type="dxa" w:w="4320"/>
          </w:tcPr>
          <w:p>
            <w:r>
              <w:rPr>
                <w:rFonts w:ascii="Arial" w:hAnsi="Arial"/>
                <w:sz w:val="17"/>
              </w:rPr>
            </w:r>
            <w:r>
              <w:rPr>
                <w:rFonts w:ascii="Arial" w:hAnsi="Arial"/>
                <w:sz w:val="17"/>
              </w:rPr>
              <w:t>EUR 5,000,000 per occurrence</w:t>
            </w:r>
          </w:p>
        </w:tc>
      </w:tr>
      <w:tr>
        <w:tc>
          <w:tcPr>
            <w:tcW w:type="dxa" w:w="4320"/>
          </w:tcPr>
          <w:p>
            <w:r>
              <w:rPr>
                <w:rFonts w:ascii="Arial" w:hAnsi="Arial"/>
                <w:sz w:val="17"/>
              </w:rPr>
            </w:r>
            <w:r>
              <w:rPr>
                <w:rFonts w:ascii="Arial" w:hAnsi="Arial"/>
                <w:sz w:val="17"/>
              </w:rPr>
              <w:t>Performance security</w:t>
            </w:r>
          </w:p>
        </w:tc>
        <w:tc>
          <w:tcPr>
            <w:tcW w:type="dxa" w:w="4320"/>
          </w:tcPr>
          <w:p>
            <w:r>
              <w:rPr>
                <w:rFonts w:ascii="Arial" w:hAnsi="Arial"/>
                <w:sz w:val="17"/>
              </w:rPr>
            </w:r>
            <w:r>
              <w:rPr>
                <w:rFonts w:ascii="Arial" w:hAnsi="Arial"/>
                <w:sz w:val="17"/>
              </w:rPr>
              <w:t>5% of the Subcontract Sum, on-demand bank guarantee</w:t>
            </w:r>
          </w:p>
        </w:tc>
      </w:tr>
      <w:tr>
        <w:tc>
          <w:tcPr>
            <w:tcW w:type="dxa" w:w="4320"/>
          </w:tcPr>
          <w:p>
            <w:r>
              <w:rPr>
                <w:rFonts w:ascii="Arial" w:hAnsi="Arial"/>
                <w:sz w:val="17"/>
              </w:rPr>
            </w:r>
            <w:r>
              <w:rPr>
                <w:rFonts w:ascii="Arial" w:hAnsi="Arial"/>
                <w:sz w:val="17"/>
              </w:rPr>
              <w:t>Governing law</w:t>
            </w:r>
          </w:p>
        </w:tc>
        <w:tc>
          <w:tcPr>
            <w:tcW w:type="dxa" w:w="4320"/>
          </w:tcPr>
          <w:p>
            <w:r>
              <w:rPr>
                <w:rFonts w:ascii="Arial" w:hAnsi="Arial"/>
                <w:sz w:val="17"/>
              </w:rPr>
            </w:r>
            <w:r>
              <w:rPr>
                <w:rFonts w:ascii="Arial" w:hAnsi="Arial"/>
                <w:b/>
                <w:sz w:val="17"/>
              </w:rPr>
              <w:t>The law of Sweden</w:t>
            </w:r>
          </w:p>
        </w:tc>
      </w:tr>
      <w:tr>
        <w:tc>
          <w:tcPr>
            <w:tcW w:type="dxa" w:w="4320"/>
          </w:tcPr>
          <w:p>
            <w:r>
              <w:rPr>
                <w:rFonts w:ascii="Arial" w:hAnsi="Arial"/>
                <w:sz w:val="17"/>
              </w:rPr>
            </w:r>
            <w:r>
              <w:rPr>
                <w:rFonts w:ascii="Arial" w:hAnsi="Arial"/>
                <w:sz w:val="17"/>
              </w:rPr>
              <w:t>Dispute resolution</w:t>
            </w:r>
          </w:p>
        </w:tc>
        <w:tc>
          <w:tcPr>
            <w:tcW w:type="dxa" w:w="4320"/>
          </w:tcPr>
          <w:p>
            <w:r>
              <w:rPr>
                <w:rFonts w:ascii="Arial" w:hAnsi="Arial"/>
                <w:sz w:val="17"/>
              </w:rPr>
            </w:r>
            <w:r>
              <w:rPr>
                <w:rFonts w:ascii="Arial" w:hAnsi="Arial"/>
                <w:b/>
                <w:sz w:val="17"/>
              </w:rPr>
              <w:t>Arbitration under the Rules of the Arbitration Institute of the Stockholm Chamber of Commerce, seat Stockholm, one arbitrator, language English</w:t>
            </w:r>
          </w:p>
        </w:tc>
      </w:tr>
    </w:tbl>
    <w:p/>
    <w:p>
      <w:r>
        <w:rPr>
          <w:color w:val="BBBBBB"/>
        </w:rPr>
        <w:t>____________________________________________________________</w:t>
      </w:r>
    </w:p>
    <w:p>
      <w:pPr>
        <w:pStyle w:val="Heading1"/>
      </w:pPr>
      <w:r>
        <w:t>PART 2 — CONDITIONS</w:t>
      </w:r>
    </w:p>
    <w:p>
      <w:pPr>
        <w:pStyle w:val="Heading2"/>
      </w:pPr>
      <w:r>
        <w:t>Clause 1 — Documents and Priority</w:t>
      </w:r>
    </w:p>
    <w:p>
      <w:r>
        <w:t>1.1 This Subcontract comprises these conditions, the Subcontract Particulars in Part 1, the scope schedule at Appendix A, and the Subcontractor's tender offer reference IL-7729 dated 19 March 2026.</w:t>
      </w:r>
    </w:p>
    <w:p>
      <w:r>
        <w:t>1.2 In the event of conflict, the order of priority is: (a) the Subcontract Particulars, (b) these conditions, (c) the Subcontractor's tender offer, (d) the Contractor's enquiry documents.</w:t>
      </w:r>
    </w:p>
    <w:p>
      <w:pPr>
        <w:pStyle w:val="Heading2"/>
      </w:pPr>
      <w:r>
        <w:t>Clause 2 — The Subcontract Works</w:t>
      </w:r>
    </w:p>
    <w:p>
      <w:r>
        <w:t>2.1 The Subcontractor shall design, supply, install, test and commission the mechanical works described in Appendix A.</w:t>
      </w:r>
    </w:p>
    <w:p>
      <w:r>
        <w:t>2.2 The Subcontractor shall achieve:</w:t>
      </w:r>
    </w:p>
    <w:p>
      <w:pPr>
        <w:pStyle w:val="ListBullet"/>
      </w:pPr>
      <w:r>
        <w:t xml:space="preserve">free cooling of </w:t>
      </w:r>
      <w:r>
        <w:rPr>
          <w:b/>
        </w:rPr>
        <w:t>not less than 8,300 hours per year</w:t>
      </w:r>
      <w:r>
        <w:t xml:space="preserve"> on Vantaa climate data;</w:t>
      </w:r>
    </w:p>
    <w:p>
      <w:pPr>
        <w:pStyle w:val="ListBullet"/>
      </w:pPr>
      <w:r>
        <w:t xml:space="preserve">waste-heat delivery of </w:t>
      </w:r>
      <w:r>
        <w:rPr>
          <w:b/>
        </w:rPr>
        <w:t>not less than 4 MW at not less than 70 °C flow</w:t>
      </w:r>
      <w:r>
        <w:t xml:space="preserve"> to the</w:t>
      </w:r>
    </w:p>
    <w:p>
      <w:r>
        <w:t xml:space="preserve">  site boundary chamber, demonstrated by a </w:t>
      </w:r>
      <w:r>
        <w:rPr>
          <w:b/>
        </w:rPr>
        <w:t>72-hour witnessed delivery test</w:t>
      </w:r>
      <w:r>
        <w:t>;</w:t>
      </w:r>
    </w:p>
    <w:p>
      <w:pPr>
        <w:pStyle w:val="ListBullet"/>
      </w:pPr>
      <w:r>
        <w:t>water use effectiveness not exceeding 0.25 L/kWh for the mechanical systems.</w:t>
      </w:r>
    </w:p>
    <w:p>
      <w:r>
        <w:t>2.3 The Subcontractor's design obligation is to exercise the reasonable skill and care of a competent designer of mechanical systems of similar type and scale.</w:t>
      </w:r>
    </w:p>
    <w:p>
      <w:pPr>
        <w:pStyle w:val="Heading2"/>
      </w:pPr>
      <w:r>
        <w:t>Clause 3 — Programme</w:t>
      </w:r>
    </w:p>
    <w:p>
      <w:r>
        <w:t>3.1 The Subcontractor shall complete the Subcontract Works within the Period for Completion stated in Part 1, as a single obligation.</w:t>
      </w:r>
    </w:p>
    <w:p>
      <w:r>
        <w:t>3.2 The Subcontractor shall provide a baseline programme within 21 days of instruction.</w:t>
      </w:r>
    </w:p>
    <w:p>
      <w:r>
        <w:t>3.3 The Subcontractor shall not be obliged to plan or resource its works to any sectional, phased or partial completion dates unless those dates are stated in Part 1.</w:t>
      </w:r>
    </w:p>
    <w:p>
      <w:pPr>
        <w:pStyle w:val="Heading2"/>
      </w:pPr>
      <w:r>
        <w:t>Clause 4 — Extension of Time</w:t>
      </w:r>
    </w:p>
    <w:p>
      <w:r>
        <w:t>4.1 The Subcontractor is entitled to an extension of time where completion is delayed by an act or omission of the Contractor, a variation, or a cause beyond the Subcontractor's reasonable control.</w:t>
      </w:r>
    </w:p>
    <w:p>
      <w:r>
        <w:t xml:space="preserve">4.2 </w:t>
      </w:r>
      <w:r>
        <w:rPr>
          <w:b/>
        </w:rPr>
        <w:t>Where a delay for which the Subcontractor is responsible occurs concurrently with a delay falling within Clause 4.1, the Subcontractor shall be entitled to a full extension of time for the whole period of concurrency.</w:t>
      </w:r>
    </w:p>
    <w:p>
      <w:r>
        <w:t>4.3 The Subcontractor shall notify the Contractor within 28 days of becoming aware of the event.</w:t>
      </w:r>
    </w:p>
    <w:p>
      <w:pPr>
        <w:pStyle w:val="Heading2"/>
      </w:pPr>
      <w:r>
        <w:t>Clause 5 — Delay Damages</w:t>
      </w:r>
    </w:p>
    <w:p>
      <w:r>
        <w:t>5.1 If the Subcontractor fails to complete within the Period for Completion, the Subcontractor shall pay the Contractor liquidated damages at the rate stated in Part 1 for each day of delay.</w:t>
      </w:r>
    </w:p>
    <w:p>
      <w:r>
        <w:t xml:space="preserve">5.2 </w:t>
      </w:r>
      <w:r>
        <w:rPr>
          <w:b/>
        </w:rPr>
        <w:t>No aggregate limit applies to liquidated damages under this clause.</w:t>
      </w:r>
    </w:p>
    <w:p>
      <w:r>
        <w:t>5.3 Liquidated damages are the Contractor's sole financial remedy for delayed completion.</w:t>
      </w:r>
    </w:p>
    <w:p>
      <w:pPr>
        <w:pStyle w:val="Heading2"/>
      </w:pPr>
      <w:r>
        <w:t>Clause 6 — Payment</w:t>
      </w:r>
    </w:p>
    <w:p>
      <w:r>
        <w:t>6.1 The Subcontractor shall submit a monthly application. The Contractor shall pay the amount properly due within the Period for Payment stated in Part 1.</w:t>
      </w:r>
    </w:p>
    <w:p>
      <w:r>
        <w:t>6.2 The Contractor shall deduct retention at the percentage stated in Part 1. Retention is released in full on completion of the Subcontract Works.</w:t>
      </w:r>
    </w:p>
    <w:p>
      <w:r>
        <w:t>6.3 Interest on late payment accrues at 8% per annum.</w:t>
      </w:r>
    </w:p>
    <w:p>
      <w:pPr>
        <w:pStyle w:val="Heading2"/>
      </w:pPr>
      <w:r>
        <w:t>Clause 7 — Variations</w:t>
      </w:r>
    </w:p>
    <w:p>
      <w:r>
        <w:t>7.1 The Contractor may instruct variations to the Subcontract Works.</w:t>
      </w:r>
    </w:p>
    <w:p>
      <w:r>
        <w:t>7.2 The value of a variation shall be agreed between the parties.</w:t>
      </w:r>
    </w:p>
    <w:p>
      <w:r>
        <w:t xml:space="preserve">7.3 </w:t>
      </w:r>
      <w:r>
        <w:rPr>
          <w:b/>
        </w:rPr>
        <w:t>Where the value of an instructed variation has not been agreed within 14 days of the instruction, the Subcontractor may suspend execution of that variation until the value is agreed, without liability for any consequent delay.</w:t>
      </w:r>
    </w:p>
    <w:p>
      <w:pPr>
        <w:pStyle w:val="Heading2"/>
      </w:pPr>
      <w:r>
        <w:t>Clause 8 — Defects</w:t>
      </w:r>
    </w:p>
    <w:p>
      <w:r>
        <w:t>8.1 The Subcontractor shall make good defects notified during the Defects Liability Period stated in Part 1, which runs from completion of the Subcontract Works.</w:t>
      </w:r>
    </w:p>
    <w:p>
      <w:pPr>
        <w:pStyle w:val="Heading2"/>
      </w:pPr>
      <w:r>
        <w:t>Clause 9 — Liability and Insurance</w:t>
      </w:r>
    </w:p>
    <w:p>
      <w:r>
        <w:t>9.1 The Subcontractor's total liability arising out of or in connection with this Subcontract is limited to the amount stated in Part 1.</w:t>
      </w:r>
    </w:p>
    <w:p>
      <w:r>
        <w:t>9.2 Nothing in this Subcontract limits liability for death or personal injury caused by negligence, for fraud, or for wilful misconduct.</w:t>
      </w:r>
    </w:p>
    <w:p>
      <w:r>
        <w:t>9.3 The Subcontractor shall maintain the insurances stated in Part 1.</w:t>
      </w:r>
    </w:p>
    <w:p>
      <w:pPr>
        <w:pStyle w:val="Heading2"/>
      </w:pPr>
      <w:r>
        <w:t>Clause 10 — Performance</w:t>
      </w:r>
    </w:p>
    <w:p>
      <w:r>
        <w:t>10.1 The Subcontractor shall provide the performance security stated in Part 1 within 28 days of execution.</w:t>
      </w:r>
    </w:p>
    <w:p>
      <w:pPr>
        <w:pStyle w:val="Heading2"/>
      </w:pPr>
      <w:r>
        <w:t>Clause 11 — Compliance</w:t>
      </w:r>
    </w:p>
    <w:p>
      <w:r>
        <w:t>11.1 The Subcontractor shall comply with applicable law and with the Contractor's site rules.</w:t>
      </w:r>
    </w:p>
    <w:p>
      <w:pPr>
        <w:pStyle w:val="Heading2"/>
      </w:pPr>
      <w:r>
        <w:t>Clause 12 — Termination</w:t>
      </w:r>
    </w:p>
    <w:p>
      <w:r>
        <w:t>12.1 Either party may terminate for the other's material breach not remedied within 30 days of notice.</w:t>
      </w:r>
    </w:p>
    <w:p>
      <w:pPr>
        <w:pStyle w:val="Heading2"/>
      </w:pPr>
      <w:r>
        <w:t>Clause 13 — Law and Disputes</w:t>
      </w:r>
    </w:p>
    <w:p>
      <w:r>
        <w:t>13.1 This Subcontract is governed by the law stated in Part 1.</w:t>
      </w:r>
    </w:p>
    <w:p>
      <w:r>
        <w:t>13.2 Any dispute shall be finally resolved by arbitration as stated in Part 1.</w:t>
      </w:r>
    </w:p>
    <w:p>
      <w:r>
        <w:rPr>
          <w:color w:val="BBBBBB"/>
        </w:rPr>
        <w:t>____________________________________________________________</w:t>
      </w:r>
    </w:p>
    <w:p>
      <w:pPr>
        <w:pStyle w:val="Heading1"/>
      </w:pPr>
      <w:r>
        <w:t>APPENDIX A — SCOPE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Ref</w:t>
            </w:r>
          </w:p>
        </w:tc>
        <w:tc>
          <w:tcPr>
            <w:tcW w:type="dxa" w:w="2880"/>
          </w:tcPr>
          <w:p>
            <w:r>
              <w:rPr>
                <w:rFonts w:ascii="Arial" w:hAnsi="Arial"/>
                <w:b/>
                <w:sz w:val="17"/>
              </w:rPr>
            </w:r>
            <w:r>
              <w:rPr>
                <w:rFonts w:ascii="Arial" w:hAnsi="Arial"/>
                <w:b/>
                <w:sz w:val="17"/>
              </w:rPr>
              <w:t>Description</w:t>
            </w:r>
          </w:p>
        </w:tc>
        <w:tc>
          <w:tcPr>
            <w:tcW w:type="dxa" w:w="2880"/>
          </w:tcPr>
          <w:p>
            <w:r>
              <w:rPr>
                <w:rFonts w:ascii="Arial" w:hAnsi="Arial"/>
                <w:b/>
                <w:sz w:val="17"/>
              </w:rPr>
            </w:r>
            <w:r>
              <w:rPr>
                <w:rFonts w:ascii="Arial" w:hAnsi="Arial"/>
                <w:b/>
                <w:sz w:val="17"/>
              </w:rPr>
              <w:t>Value (EUR)</w:t>
            </w:r>
          </w:p>
        </w:tc>
      </w:tr>
      <w:tr>
        <w:tc>
          <w:tcPr>
            <w:tcW w:type="dxa" w:w="2880"/>
          </w:tcPr>
          <w:p>
            <w:r>
              <w:rPr>
                <w:rFonts w:ascii="Arial" w:hAnsi="Arial"/>
                <w:sz w:val="17"/>
              </w:rPr>
            </w:r>
            <w:r>
              <w:rPr>
                <w:rFonts w:ascii="Arial" w:hAnsi="Arial"/>
                <w:sz w:val="17"/>
              </w:rPr>
              <w:t>TP-005.01</w:t>
            </w:r>
          </w:p>
        </w:tc>
        <w:tc>
          <w:tcPr>
            <w:tcW w:type="dxa" w:w="2880"/>
          </w:tcPr>
          <w:p>
            <w:r>
              <w:rPr>
                <w:rFonts w:ascii="Arial" w:hAnsi="Arial"/>
                <w:sz w:val="17"/>
              </w:rPr>
            </w:r>
            <w:r>
              <w:rPr>
                <w:rFonts w:ascii="Arial" w:hAnsi="Arial"/>
                <w:sz w:val="17"/>
              </w:rPr>
              <w:t>Chillers, 4 nr, N+1 configuration</w:t>
            </w:r>
          </w:p>
        </w:tc>
        <w:tc>
          <w:tcPr>
            <w:tcW w:type="dxa" w:w="2880"/>
          </w:tcPr>
          <w:p>
            <w:r>
              <w:rPr>
                <w:rFonts w:ascii="Arial" w:hAnsi="Arial"/>
                <w:sz w:val="17"/>
              </w:rPr>
            </w:r>
            <w:r>
              <w:rPr>
                <w:rFonts w:ascii="Arial" w:hAnsi="Arial"/>
                <w:sz w:val="17"/>
              </w:rPr>
              <w:t>6,842,000</w:t>
            </w:r>
          </w:p>
        </w:tc>
      </w:tr>
      <w:tr>
        <w:tc>
          <w:tcPr>
            <w:tcW w:type="dxa" w:w="2880"/>
          </w:tcPr>
          <w:p>
            <w:r>
              <w:rPr>
                <w:rFonts w:ascii="Arial" w:hAnsi="Arial"/>
                <w:sz w:val="17"/>
              </w:rPr>
            </w:r>
            <w:r>
              <w:rPr>
                <w:rFonts w:ascii="Arial" w:hAnsi="Arial"/>
                <w:sz w:val="17"/>
              </w:rPr>
              <w:t>TP-005.02</w:t>
            </w:r>
          </w:p>
        </w:tc>
        <w:tc>
          <w:tcPr>
            <w:tcW w:type="dxa" w:w="2880"/>
          </w:tcPr>
          <w:p>
            <w:r>
              <w:rPr>
                <w:rFonts w:ascii="Arial" w:hAnsi="Arial"/>
                <w:sz w:val="17"/>
              </w:rPr>
            </w:r>
            <w:r>
              <w:rPr>
                <w:rFonts w:ascii="Arial" w:hAnsi="Arial"/>
                <w:sz w:val="17"/>
              </w:rPr>
              <w:t>Dry coolers / adiabatic units, 10 nr</w:t>
            </w:r>
          </w:p>
        </w:tc>
        <w:tc>
          <w:tcPr>
            <w:tcW w:type="dxa" w:w="2880"/>
          </w:tcPr>
          <w:p>
            <w:r>
              <w:rPr>
                <w:rFonts w:ascii="Arial" w:hAnsi="Arial"/>
                <w:sz w:val="17"/>
              </w:rPr>
            </w:r>
            <w:r>
              <w:rPr>
                <w:rFonts w:ascii="Arial" w:hAnsi="Arial"/>
                <w:sz w:val="17"/>
              </w:rPr>
              <w:t>2,914,400</w:t>
            </w:r>
          </w:p>
        </w:tc>
      </w:tr>
      <w:tr>
        <w:tc>
          <w:tcPr>
            <w:tcW w:type="dxa" w:w="2880"/>
          </w:tcPr>
          <w:p>
            <w:r>
              <w:rPr>
                <w:rFonts w:ascii="Arial" w:hAnsi="Arial"/>
                <w:sz w:val="17"/>
              </w:rPr>
            </w:r>
            <w:r>
              <w:rPr>
                <w:rFonts w:ascii="Arial" w:hAnsi="Arial"/>
                <w:sz w:val="17"/>
              </w:rPr>
              <w:t>TP-005.03</w:t>
            </w:r>
          </w:p>
        </w:tc>
        <w:tc>
          <w:tcPr>
            <w:tcW w:type="dxa" w:w="2880"/>
          </w:tcPr>
          <w:p>
            <w:r>
              <w:rPr>
                <w:rFonts w:ascii="Arial" w:hAnsi="Arial"/>
                <w:sz w:val="17"/>
              </w:rPr>
            </w:r>
            <w:r>
              <w:rPr>
                <w:rFonts w:ascii="Arial" w:hAnsi="Arial"/>
                <w:sz w:val="17"/>
              </w:rPr>
              <w:t>CRAH units, 7 per hall, N+1</w:t>
            </w:r>
          </w:p>
        </w:tc>
        <w:tc>
          <w:tcPr>
            <w:tcW w:type="dxa" w:w="2880"/>
          </w:tcPr>
          <w:p>
            <w:r>
              <w:rPr>
                <w:rFonts w:ascii="Arial" w:hAnsi="Arial"/>
                <w:sz w:val="17"/>
              </w:rPr>
            </w:r>
            <w:r>
              <w:rPr>
                <w:rFonts w:ascii="Arial" w:hAnsi="Arial"/>
                <w:sz w:val="17"/>
              </w:rPr>
              <w:t>5,120,600</w:t>
            </w:r>
          </w:p>
        </w:tc>
      </w:tr>
      <w:tr>
        <w:tc>
          <w:tcPr>
            <w:tcW w:type="dxa" w:w="2880"/>
          </w:tcPr>
          <w:p>
            <w:r>
              <w:rPr>
                <w:rFonts w:ascii="Arial" w:hAnsi="Arial"/>
                <w:sz w:val="17"/>
              </w:rPr>
            </w:r>
            <w:r>
              <w:rPr>
                <w:rFonts w:ascii="Arial" w:hAnsi="Arial"/>
                <w:sz w:val="17"/>
              </w:rPr>
              <w:t>TP-005.04</w:t>
            </w:r>
          </w:p>
        </w:tc>
        <w:tc>
          <w:tcPr>
            <w:tcW w:type="dxa" w:w="2880"/>
          </w:tcPr>
          <w:p>
            <w:r>
              <w:rPr>
                <w:rFonts w:ascii="Arial" w:hAnsi="Arial"/>
                <w:sz w:val="17"/>
              </w:rPr>
            </w:r>
            <w:r>
              <w:rPr>
                <w:rFonts w:ascii="Arial" w:hAnsi="Arial"/>
                <w:sz w:val="17"/>
              </w:rPr>
              <w:t>Chilled water pipework, pumps, buffer vessels, glycol dosing</w:t>
            </w:r>
          </w:p>
        </w:tc>
        <w:tc>
          <w:tcPr>
            <w:tcW w:type="dxa" w:w="2880"/>
          </w:tcPr>
          <w:p>
            <w:r>
              <w:rPr>
                <w:rFonts w:ascii="Arial" w:hAnsi="Arial"/>
                <w:sz w:val="17"/>
              </w:rPr>
            </w:r>
            <w:r>
              <w:rPr>
                <w:rFonts w:ascii="Arial" w:hAnsi="Arial"/>
                <w:sz w:val="17"/>
              </w:rPr>
              <w:t>3,988,200</w:t>
            </w:r>
          </w:p>
        </w:tc>
      </w:tr>
      <w:tr>
        <w:tc>
          <w:tcPr>
            <w:tcW w:type="dxa" w:w="2880"/>
          </w:tcPr>
          <w:p>
            <w:r>
              <w:rPr>
                <w:rFonts w:ascii="Arial" w:hAnsi="Arial"/>
                <w:sz w:val="17"/>
              </w:rPr>
            </w:r>
            <w:r>
              <w:rPr>
                <w:rFonts w:ascii="Arial" w:hAnsi="Arial"/>
                <w:sz w:val="17"/>
              </w:rPr>
              <w:t>TP-005.05</w:t>
            </w:r>
          </w:p>
        </w:tc>
        <w:tc>
          <w:tcPr>
            <w:tcW w:type="dxa" w:w="2880"/>
          </w:tcPr>
          <w:p>
            <w:r>
              <w:rPr>
                <w:rFonts w:ascii="Arial" w:hAnsi="Arial"/>
                <w:sz w:val="17"/>
              </w:rPr>
            </w:r>
            <w:r>
              <w:rPr>
                <w:rFonts w:ascii="Arial" w:hAnsi="Arial"/>
                <w:sz w:val="17"/>
              </w:rPr>
              <w:t>Waste-heat recovery plant, 4 MW at 70 °C to boundary chamber</w:t>
            </w:r>
          </w:p>
        </w:tc>
        <w:tc>
          <w:tcPr>
            <w:tcW w:type="dxa" w:w="2880"/>
          </w:tcPr>
          <w:p>
            <w:r>
              <w:rPr>
                <w:rFonts w:ascii="Arial" w:hAnsi="Arial"/>
                <w:sz w:val="17"/>
              </w:rPr>
            </w:r>
            <w:r>
              <w:rPr>
                <w:rFonts w:ascii="Arial" w:hAnsi="Arial"/>
                <w:sz w:val="17"/>
              </w:rPr>
              <w:t>1,940,000</w:t>
            </w:r>
          </w:p>
        </w:tc>
      </w:tr>
      <w:tr>
        <w:tc>
          <w:tcPr>
            <w:tcW w:type="dxa" w:w="2880"/>
          </w:tcPr>
          <w:p>
            <w:r>
              <w:rPr>
                <w:rFonts w:ascii="Arial" w:hAnsi="Arial"/>
                <w:sz w:val="17"/>
              </w:rPr>
            </w:r>
            <w:r>
              <w:rPr>
                <w:rFonts w:ascii="Arial" w:hAnsi="Arial"/>
                <w:sz w:val="17"/>
              </w:rPr>
              <w:t>TP-005.06</w:t>
            </w:r>
          </w:p>
        </w:tc>
        <w:tc>
          <w:tcPr>
            <w:tcW w:type="dxa" w:w="2880"/>
          </w:tcPr>
          <w:p>
            <w:r>
              <w:rPr>
                <w:rFonts w:ascii="Arial" w:hAnsi="Arial"/>
                <w:sz w:val="17"/>
              </w:rPr>
            </w:r>
            <w:r>
              <w:rPr>
                <w:rFonts w:ascii="Arial" w:hAnsi="Arial"/>
                <w:sz w:val="17"/>
              </w:rPr>
              <w:t>Ventilation, smoke extract and comfort cooling to ancillary areas</w:t>
            </w:r>
          </w:p>
        </w:tc>
        <w:tc>
          <w:tcPr>
            <w:tcW w:type="dxa" w:w="2880"/>
          </w:tcPr>
          <w:p>
            <w:r>
              <w:rPr>
                <w:rFonts w:ascii="Arial" w:hAnsi="Arial"/>
                <w:sz w:val="17"/>
              </w:rPr>
            </w:r>
            <w:r>
              <w:rPr>
                <w:rFonts w:ascii="Arial" w:hAnsi="Arial"/>
                <w:sz w:val="17"/>
              </w:rPr>
              <w:t>968,400</w:t>
            </w:r>
          </w:p>
        </w:tc>
      </w:tr>
      <w:tr>
        <w:tc>
          <w:tcPr>
            <w:tcW w:type="dxa" w:w="2880"/>
          </w:tcPr>
          <w:p>
            <w:r>
              <w:rPr>
                <w:rFonts w:ascii="Arial" w:hAnsi="Arial"/>
                <w:sz w:val="17"/>
              </w:rPr>
            </w:r>
            <w:r>
              <w:rPr>
                <w:rFonts w:ascii="Arial" w:hAnsi="Arial"/>
                <w:sz w:val="17"/>
              </w:rPr>
              <w:t>TP-005.07</w:t>
            </w:r>
          </w:p>
        </w:tc>
        <w:tc>
          <w:tcPr>
            <w:tcW w:type="dxa" w:w="2880"/>
          </w:tcPr>
          <w:p>
            <w:r>
              <w:rPr>
                <w:rFonts w:ascii="Arial" w:hAnsi="Arial"/>
                <w:sz w:val="17"/>
              </w:rPr>
            </w:r>
            <w:r>
              <w:rPr>
                <w:rFonts w:ascii="Arial" w:hAnsi="Arial"/>
                <w:sz w:val="17"/>
              </w:rPr>
              <w:t>Water treatment and adiabatic make-up</w:t>
            </w:r>
          </w:p>
        </w:tc>
        <w:tc>
          <w:tcPr>
            <w:tcW w:type="dxa" w:w="2880"/>
          </w:tcPr>
          <w:p>
            <w:r>
              <w:rPr>
                <w:rFonts w:ascii="Arial" w:hAnsi="Arial"/>
                <w:sz w:val="17"/>
              </w:rPr>
            </w:r>
            <w:r>
              <w:rPr>
                <w:rFonts w:ascii="Arial" w:hAnsi="Arial"/>
                <w:sz w:val="17"/>
              </w:rPr>
              <w:t>313,280</w:t>
            </w:r>
          </w:p>
        </w:tc>
      </w:tr>
      <w:tr>
        <w:tc>
          <w:tcPr>
            <w:tcW w:type="dxa" w:w="2880"/>
          </w:tcPr>
          <w:p>
            <w:r>
              <w:rPr>
                <w:rFonts w:ascii="Arial" w:hAnsi="Arial"/>
                <w:sz w:val="17"/>
              </w:rPr>
            </w:r>
            <w:r>
              <w:rPr>
                <w:rFonts w:ascii="Arial" w:hAnsi="Arial"/>
                <w:sz w:val="17"/>
              </w:rPr>
              <w:t>TP-005.08</w:t>
            </w:r>
          </w:p>
        </w:tc>
        <w:tc>
          <w:tcPr>
            <w:tcW w:type="dxa" w:w="2880"/>
          </w:tcPr>
          <w:p>
            <w:r>
              <w:rPr>
                <w:rFonts w:ascii="Arial" w:hAnsi="Arial"/>
                <w:sz w:val="17"/>
              </w:rPr>
            </w:r>
            <w:r>
              <w:rPr>
                <w:rFonts w:ascii="Arial" w:hAnsi="Arial"/>
                <w:sz w:val="17"/>
              </w:rPr>
              <w:t>Mechanical commissioning support to L4 and L5</w:t>
            </w:r>
          </w:p>
        </w:tc>
        <w:tc>
          <w:tcPr>
            <w:tcW w:type="dxa" w:w="2880"/>
          </w:tcPr>
          <w:p>
            <w:r>
              <w:rPr>
                <w:rFonts w:ascii="Arial" w:hAnsi="Arial"/>
                <w:sz w:val="17"/>
              </w:rPr>
            </w:r>
            <w:r>
              <w:rPr>
                <w:rFonts w:ascii="Arial" w:hAnsi="Arial"/>
                <w:sz w:val="17"/>
              </w:rPr>
              <w:t>200,000</w:t>
            </w:r>
          </w:p>
        </w:tc>
      </w:tr>
      <w:tr>
        <w:tc>
          <w:tcPr>
            <w:tcW w:type="dxa" w:w="2880"/>
          </w:tcPr>
          <w:p>
            <w:r>
              <w:rPr>
                <w:rFonts w:ascii="Arial" w:hAnsi="Arial"/>
                <w:sz w:val="17"/>
              </w:rPr>
            </w:r>
          </w:p>
        </w:tc>
        <w:tc>
          <w:tcPr>
            <w:tcW w:type="dxa" w:w="2880"/>
          </w:tcPr>
          <w:p>
            <w:r>
              <w:rPr>
                <w:rFonts w:ascii="Arial" w:hAnsi="Arial"/>
                <w:sz w:val="17"/>
              </w:rPr>
            </w:r>
            <w:r>
              <w:rPr>
                <w:rFonts w:ascii="Arial" w:hAnsi="Arial"/>
                <w:b/>
                <w:sz w:val="17"/>
              </w:rPr>
              <w:t>Total</w:t>
            </w:r>
          </w:p>
        </w:tc>
        <w:tc>
          <w:tcPr>
            <w:tcW w:type="dxa" w:w="2880"/>
          </w:tcPr>
          <w:p>
            <w:r>
              <w:rPr>
                <w:rFonts w:ascii="Arial" w:hAnsi="Arial"/>
                <w:sz w:val="17"/>
              </w:rPr>
            </w:r>
            <w:r>
              <w:rPr>
                <w:rFonts w:ascii="Arial" w:hAnsi="Arial"/>
                <w:b/>
                <w:sz w:val="17"/>
              </w:rPr>
              <w:t>22,286,880</w:t>
            </w:r>
          </w:p>
        </w:tc>
      </w:tr>
    </w:tbl>
    <w:p/>
    <w:p>
      <w:r>
        <w:rPr>
          <w:color w:val="BBBBBB"/>
        </w:rPr>
        <w:t>____________________________________________________________</w:t>
      </w:r>
    </w:p>
    <w:p>
      <w:pPr>
        <w:pStyle w:val="Heading1"/>
      </w:pPr>
      <w:r>
        <w:t>SIGNATURES</w:t>
      </w:r>
    </w:p>
    <w:p>
      <w:r>
        <w:t>For and on behalf of NordBuild Oy</w:t>
      </w:r>
    </w:p>
    <w:p>
      <w:r>
        <w:t>Signed: .............................. Date: ..................</w:t>
      </w:r>
    </w:p>
    <w:p>
      <w:r>
        <w:t>For and on behalf of Ilmatek LVI Oy</w:t>
      </w:r>
    </w:p>
    <w:p>
      <w:r>
        <w:t>Signed: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