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SUBCONTRACT AGREEMENT — TP-005 MECHANICAL</w:t>
      </w:r>
    </w:p>
    <w:p>
      <w:r>
        <w:rPr>
          <w:b/>
        </w:rPr>
        <w:t>Subcontract reference:</w:t>
      </w:r>
      <w:r>
        <w:t xml:space="preserve"> PDC-SUB-005 · Revision 1 · issued for execution</w:t>
      </w:r>
    </w:p>
    <w:p>
      <w:r>
        <w:rPr>
          <w:b/>
        </w:rPr>
        <w:t>Project:</w:t>
      </w:r>
      <w:r>
        <w:t xml:space="preserve"> Polaris DC-1 — Aviapolis Data Campus, Phase 1, Vantaa</w:t>
      </w:r>
    </w:p>
    <w:p>
      <w:r>
        <w:rPr>
          <w:b/>
        </w:rPr>
        <w:t>Contractor:</w:t>
      </w:r>
      <w:r>
        <w:t xml:space="preserve"> NordBuild Oy, Business ID 1998442-1, Helsinki</w:t>
      </w:r>
    </w:p>
    <w:p>
      <w:r>
        <w:rPr>
          <w:b/>
        </w:rPr>
        <w:t>Subcontractor:</w:t>
      </w:r>
      <w:r>
        <w:t xml:space="preserve"> Ilmatek LVI Oy, Business ID 2884113-9, Vantaa</w:t>
      </w:r>
    </w:p>
    <w:p>
      <w:r>
        <w:rPr>
          <w:b/>
        </w:rPr>
        <w:t>Package:</w:t>
      </w:r>
      <w:r>
        <w:t xml:space="preserve"> TP-005 — Chillers, dry coolers, CRAH units and chilled water pipework</w:t>
      </w:r>
    </w:p>
    <w:p>
      <w:r>
        <w:rPr>
          <w:b/>
        </w:rPr>
        <w:t>Date of issue:</w:t>
      </w:r>
      <w:r>
        <w:t xml:space="preserve"> 24 April 2026</w:t>
      </w:r>
    </w:p>
    <w:p>
      <w:r>
        <w:rPr>
          <w:b/>
        </w:rPr>
        <w:t>Supersedes:</w:t>
      </w:r>
      <w:r>
        <w:t xml:space="preserve"> Revision 0 dated 8 April 2026</w:t>
      </w:r>
    </w:p>
    <w:p>
      <w:pPr>
        <w:pStyle w:val="IntenseQuote"/>
      </w:pPr>
      <w:r>
        <w:t>Synthetic demonstration data. All parties and values are fictional.</w:t>
      </w:r>
    </w:p>
    <w:p>
      <w:r>
        <w:rPr>
          <w:color w:val="BBBBBB"/>
        </w:rPr>
        <w:t>____________________________________________________________</w:t>
      </w:r>
    </w:p>
    <w:p>
      <w:pPr>
        <w:pStyle w:val="Heading2"/>
      </w:pPr>
      <w:r>
        <w:t>READING INSTRUCTIONS</w:t>
      </w:r>
    </w:p>
    <w:p>
      <w:r>
        <w:t>Revision 1 responds to the Contractor's back-to-back review of the Subcontractor's Revision 0 draft. The Subcontractor's standard form has been amended so that the terms sit back-to-back with the Main Contract and reflect what was offered in tender IL-7729 dated 19 March 2026.</w:t>
      </w:r>
    </w:p>
    <w:p>
      <w:r>
        <w:t>The Main Contract is the FIDIC Yellow Book 2017 as amended by the Particular Conditions PDC-PC-001 Revision C, between Polaris Digital Infrastructure Oy as Employer and NordBuild Oy as Contractor.</w:t>
      </w:r>
    </w:p>
    <w:p>
      <w:r>
        <w:t>Changed items are marked ✎.</w:t>
      </w:r>
    </w:p>
    <w:p>
      <w:r>
        <w:rPr>
          <w:color w:val="BBBBBB"/>
        </w:rPr>
        <w:t>____________________________________________________________</w:t>
      </w:r>
    </w:p>
    <w:p>
      <w:pPr>
        <w:pStyle w:val="Heading1"/>
      </w:pPr>
      <w:r>
        <w:t>PART 1 — SUBCONTRACT PARTICULARS</w:t>
      </w:r>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b/>
                <w:sz w:val="17"/>
              </w:rPr>
            </w:r>
            <w:r>
              <w:rPr>
                <w:rFonts w:ascii="Arial" w:hAnsi="Arial"/>
                <w:b/>
                <w:sz w:val="17"/>
              </w:rPr>
              <w:t>Item</w:t>
            </w:r>
          </w:p>
        </w:tc>
        <w:tc>
          <w:tcPr>
            <w:tcW w:type="dxa" w:w="4320"/>
          </w:tcPr>
          <w:p>
            <w:r>
              <w:rPr>
                <w:rFonts w:ascii="Arial" w:hAnsi="Arial"/>
                <w:b/>
                <w:sz w:val="17"/>
              </w:rPr>
            </w:r>
            <w:r>
              <w:rPr>
                <w:rFonts w:ascii="Arial" w:hAnsi="Arial"/>
                <w:b/>
                <w:sz w:val="17"/>
              </w:rPr>
              <w:t>Data</w:t>
            </w:r>
          </w:p>
        </w:tc>
      </w:tr>
      <w:tr>
        <w:tc>
          <w:tcPr>
            <w:tcW w:type="dxa" w:w="4320"/>
          </w:tcPr>
          <w:p>
            <w:r>
              <w:rPr>
                <w:rFonts w:ascii="Arial" w:hAnsi="Arial"/>
                <w:sz w:val="17"/>
              </w:rPr>
            </w:r>
            <w:r>
              <w:rPr>
                <w:rFonts w:ascii="Arial" w:hAnsi="Arial"/>
                <w:sz w:val="17"/>
              </w:rPr>
              <w:t>Subcontract Sum (excluding VAT)</w:t>
            </w:r>
          </w:p>
        </w:tc>
        <w:tc>
          <w:tcPr>
            <w:tcW w:type="dxa" w:w="4320"/>
          </w:tcPr>
          <w:p>
            <w:r>
              <w:rPr>
                <w:rFonts w:ascii="Arial" w:hAnsi="Arial"/>
                <w:sz w:val="17"/>
              </w:rPr>
            </w:r>
            <w:r>
              <w:rPr>
                <w:rFonts w:ascii="Arial" w:hAnsi="Arial"/>
                <w:sz w:val="17"/>
              </w:rPr>
              <w:t>EUR 22,286,880</w:t>
            </w:r>
          </w:p>
        </w:tc>
      </w:tr>
      <w:tr>
        <w:tc>
          <w:tcPr>
            <w:tcW w:type="dxa" w:w="4320"/>
          </w:tcPr>
          <w:p>
            <w:r>
              <w:rPr>
                <w:rFonts w:ascii="Arial" w:hAnsi="Arial"/>
                <w:sz w:val="17"/>
              </w:rPr>
            </w:r>
            <w:r>
              <w:rPr>
                <w:rFonts w:ascii="Arial" w:hAnsi="Arial"/>
                <w:sz w:val="17"/>
              </w:rPr>
              <w:t>Currency</w:t>
            </w:r>
          </w:p>
        </w:tc>
        <w:tc>
          <w:tcPr>
            <w:tcW w:type="dxa" w:w="4320"/>
          </w:tcPr>
          <w:p>
            <w:r>
              <w:rPr>
                <w:rFonts w:ascii="Arial" w:hAnsi="Arial"/>
                <w:sz w:val="17"/>
              </w:rPr>
            </w:r>
            <w:r>
              <w:rPr>
                <w:rFonts w:ascii="Arial" w:hAnsi="Arial"/>
                <w:sz w:val="17"/>
              </w:rPr>
              <w:t>EUR</w:t>
            </w:r>
          </w:p>
        </w:tc>
      </w:tr>
      <w:tr>
        <w:tc>
          <w:tcPr>
            <w:tcW w:type="dxa" w:w="4320"/>
          </w:tcPr>
          <w:p>
            <w:r>
              <w:rPr>
                <w:rFonts w:ascii="Arial" w:hAnsi="Arial"/>
                <w:sz w:val="17"/>
              </w:rPr>
            </w:r>
            <w:r>
              <w:rPr>
                <w:rFonts w:ascii="Arial" w:hAnsi="Arial"/>
                <w:sz w:val="17"/>
              </w:rPr>
              <w:t>Form of subcontract</w:t>
            </w:r>
          </w:p>
        </w:tc>
        <w:tc>
          <w:tcPr>
            <w:tcW w:type="dxa" w:w="4320"/>
          </w:tcPr>
          <w:p>
            <w:r>
              <w:rPr>
                <w:rFonts w:ascii="Arial" w:hAnsi="Arial"/>
                <w:sz w:val="17"/>
              </w:rPr>
            </w:r>
            <w:r>
              <w:rPr>
                <w:rFonts w:ascii="Arial" w:hAnsi="Arial"/>
                <w:sz w:val="17"/>
              </w:rPr>
              <w:t>The Subcontractor's standard conditions as amended by Part 2</w:t>
            </w:r>
          </w:p>
        </w:tc>
      </w:tr>
      <w:tr>
        <w:tc>
          <w:tcPr>
            <w:tcW w:type="dxa" w:w="4320"/>
          </w:tcPr>
          <w:p>
            <w:r>
              <w:rPr>
                <w:rFonts w:ascii="Arial" w:hAnsi="Arial"/>
                <w:sz w:val="17"/>
              </w:rPr>
            </w:r>
            <w:r>
              <w:rPr>
                <w:rFonts w:ascii="Arial" w:hAnsi="Arial"/>
                <w:sz w:val="17"/>
              </w:rPr>
              <w:t>Date for commencement</w:t>
            </w:r>
          </w:p>
        </w:tc>
        <w:tc>
          <w:tcPr>
            <w:tcW w:type="dxa" w:w="4320"/>
          </w:tcPr>
          <w:p>
            <w:r>
              <w:rPr>
                <w:rFonts w:ascii="Arial" w:hAnsi="Arial"/>
                <w:sz w:val="17"/>
              </w:rPr>
            </w:r>
            <w:r>
              <w:rPr>
                <w:rFonts w:ascii="Arial" w:hAnsi="Arial"/>
                <w:sz w:val="17"/>
              </w:rPr>
              <w:t>Within 10 working days of the Contractor's instruction to proceed</w:t>
            </w:r>
          </w:p>
        </w:tc>
      </w:tr>
      <w:tr>
        <w:tc>
          <w:tcPr>
            <w:tcW w:type="dxa" w:w="4320"/>
          </w:tcPr>
          <w:p>
            <w:r>
              <w:rPr>
                <w:rFonts w:ascii="Arial" w:hAnsi="Arial"/>
                <w:sz w:val="17"/>
              </w:rPr>
            </w:r>
            <w:r>
              <w:rPr>
                <w:rFonts w:ascii="Arial" w:hAnsi="Arial"/>
                <w:sz w:val="17"/>
              </w:rPr>
              <w:t>Period for completion</w:t>
            </w:r>
          </w:p>
        </w:tc>
        <w:tc>
          <w:tcPr>
            <w:tcW w:type="dxa" w:w="4320"/>
          </w:tcPr>
          <w:p>
            <w:r>
              <w:rPr>
                <w:rFonts w:ascii="Arial" w:hAnsi="Arial"/>
                <w:sz w:val="17"/>
              </w:rPr>
            </w:r>
            <w:r>
              <w:rPr>
                <w:rFonts w:ascii="Arial" w:hAnsi="Arial"/>
                <w:sz w:val="17"/>
              </w:rPr>
              <w:t xml:space="preserve">48 weeks from the date of instruction, </w:t>
            </w:r>
            <w:r>
              <w:rPr>
                <w:rFonts w:ascii="Arial" w:hAnsi="Arial"/>
                <w:b/>
                <w:sz w:val="17"/>
              </w:rPr>
              <w:t>✎ subject to the Sectional Dates below</w:t>
            </w:r>
          </w:p>
        </w:tc>
      </w:tr>
      <w:tr>
        <w:tc>
          <w:tcPr>
            <w:tcW w:type="dxa" w:w="4320"/>
          </w:tcPr>
          <w:p>
            <w:r>
              <w:rPr>
                <w:rFonts w:ascii="Arial" w:hAnsi="Arial"/>
                <w:sz w:val="17"/>
              </w:rPr>
            </w:r>
            <w:r>
              <w:rPr>
                <w:rFonts w:ascii="Arial" w:hAnsi="Arial"/>
                <w:sz w:val="17"/>
              </w:rPr>
              <w:t>✎ Sectional Dates</w:t>
            </w:r>
          </w:p>
        </w:tc>
        <w:tc>
          <w:tcPr>
            <w:tcW w:type="dxa" w:w="4320"/>
          </w:tcPr>
          <w:p>
            <w:r>
              <w:rPr>
                <w:rFonts w:ascii="Arial" w:hAnsi="Arial"/>
                <w:sz w:val="17"/>
              </w:rPr>
            </w:r>
            <w:r>
              <w:rPr>
                <w:rFonts w:ascii="Arial" w:hAnsi="Arial"/>
                <w:b/>
                <w:sz w:val="17"/>
              </w:rPr>
              <w:t>Mechanical works to each Data Hall shall be complete and available for the Contractor's Taking-Over testing not later than: Section 1 — 2 April 2027; Section 2 — 2 June 2027; Section 3 — 2 September 2027; Section 4 — 2 December 2027</w:t>
            </w:r>
            <w:r>
              <w:rPr>
                <w:rFonts w:ascii="Arial" w:hAnsi="Arial"/>
                <w:sz w:val="17"/>
              </w:rPr>
              <w:t>, being one month before each Main Contract Sectional completion date</w:t>
            </w:r>
          </w:p>
        </w:tc>
      </w:tr>
      <w:tr>
        <w:tc>
          <w:tcPr>
            <w:tcW w:type="dxa" w:w="4320"/>
          </w:tcPr>
          <w:p>
            <w:r>
              <w:rPr>
                <w:rFonts w:ascii="Arial" w:hAnsi="Arial"/>
                <w:sz w:val="17"/>
              </w:rPr>
            </w:r>
            <w:r>
              <w:rPr>
                <w:rFonts w:ascii="Arial" w:hAnsi="Arial"/>
                <w:sz w:val="17"/>
              </w:rPr>
              <w:t>✎ Liquidated damages for delay</w:t>
            </w:r>
          </w:p>
        </w:tc>
        <w:tc>
          <w:tcPr>
            <w:tcW w:type="dxa" w:w="4320"/>
          </w:tcPr>
          <w:p>
            <w:r>
              <w:rPr>
                <w:rFonts w:ascii="Arial" w:hAnsi="Arial"/>
                <w:sz w:val="17"/>
              </w:rPr>
            </w:r>
            <w:r>
              <w:rPr>
                <w:rFonts w:ascii="Arial" w:hAnsi="Arial"/>
                <w:b/>
                <w:sz w:val="17"/>
              </w:rPr>
              <w:t>EUR 15,000 per calendar day per Section in delay</w:t>
            </w:r>
          </w:p>
        </w:tc>
      </w:tr>
      <w:tr>
        <w:tc>
          <w:tcPr>
            <w:tcW w:type="dxa" w:w="4320"/>
          </w:tcPr>
          <w:p>
            <w:r>
              <w:rPr>
                <w:rFonts w:ascii="Arial" w:hAnsi="Arial"/>
                <w:sz w:val="17"/>
              </w:rPr>
            </w:r>
            <w:r>
              <w:rPr>
                <w:rFonts w:ascii="Arial" w:hAnsi="Arial"/>
                <w:sz w:val="17"/>
              </w:rPr>
              <w:t>✎ Aggregate limit on liquidated damages</w:t>
            </w:r>
          </w:p>
        </w:tc>
        <w:tc>
          <w:tcPr>
            <w:tcW w:type="dxa" w:w="4320"/>
          </w:tcPr>
          <w:p>
            <w:r>
              <w:rPr>
                <w:rFonts w:ascii="Arial" w:hAnsi="Arial"/>
                <w:sz w:val="17"/>
              </w:rPr>
            </w:r>
            <w:r>
              <w:rPr>
                <w:rFonts w:ascii="Arial" w:hAnsi="Arial"/>
                <w:b/>
                <w:sz w:val="17"/>
              </w:rPr>
              <w:t>10% of the Subcontract Sum</w:t>
            </w:r>
          </w:p>
        </w:tc>
      </w:tr>
      <w:tr>
        <w:tc>
          <w:tcPr>
            <w:tcW w:type="dxa" w:w="4320"/>
          </w:tcPr>
          <w:p>
            <w:r>
              <w:rPr>
                <w:rFonts w:ascii="Arial" w:hAnsi="Arial"/>
                <w:sz w:val="17"/>
              </w:rPr>
            </w:r>
            <w:r>
              <w:rPr>
                <w:rFonts w:ascii="Arial" w:hAnsi="Arial"/>
                <w:sz w:val="17"/>
              </w:rPr>
              <w:t>✎ Retention</w:t>
            </w:r>
          </w:p>
        </w:tc>
        <w:tc>
          <w:tcPr>
            <w:tcW w:type="dxa" w:w="4320"/>
          </w:tcPr>
          <w:p>
            <w:r>
              <w:rPr>
                <w:rFonts w:ascii="Arial" w:hAnsi="Arial"/>
                <w:sz w:val="17"/>
              </w:rPr>
            </w:r>
            <w:r>
              <w:rPr>
                <w:rFonts w:ascii="Arial" w:hAnsi="Arial"/>
                <w:b/>
                <w:sz w:val="17"/>
              </w:rPr>
              <w:t>5% of each payment</w:t>
            </w:r>
            <w:r>
              <w:rPr>
                <w:rFonts w:ascii="Arial" w:hAnsi="Arial"/>
                <w:sz w:val="17"/>
              </w:rPr>
              <w:t>, half released on Taking Over of Section 1 and the remainder on Taking Over of Section 4, substitutable by an on-demand bank guarantee at the Subcontractor's election</w:t>
            </w:r>
          </w:p>
        </w:tc>
      </w:tr>
      <w:tr>
        <w:tc>
          <w:tcPr>
            <w:tcW w:type="dxa" w:w="4320"/>
          </w:tcPr>
          <w:p>
            <w:r>
              <w:rPr>
                <w:rFonts w:ascii="Arial" w:hAnsi="Arial"/>
                <w:sz w:val="17"/>
              </w:rPr>
            </w:r>
            <w:r>
              <w:rPr>
                <w:rFonts w:ascii="Arial" w:hAnsi="Arial"/>
                <w:sz w:val="17"/>
              </w:rPr>
              <w:t>Advance payment</w:t>
            </w:r>
          </w:p>
        </w:tc>
        <w:tc>
          <w:tcPr>
            <w:tcW w:type="dxa" w:w="4320"/>
          </w:tcPr>
          <w:p>
            <w:r>
              <w:rPr>
                <w:rFonts w:ascii="Arial" w:hAnsi="Arial"/>
                <w:sz w:val="17"/>
              </w:rPr>
            </w:r>
            <w:r>
              <w:rPr>
                <w:rFonts w:ascii="Arial" w:hAnsi="Arial"/>
                <w:sz w:val="17"/>
              </w:rPr>
              <w:t>10% of the Subcontract Sum against an advance payment guarantee, repaid by deduction of 12% from each payment</w:t>
            </w:r>
          </w:p>
        </w:tc>
      </w:tr>
      <w:tr>
        <w:tc>
          <w:tcPr>
            <w:tcW w:type="dxa" w:w="4320"/>
          </w:tcPr>
          <w:p>
            <w:r>
              <w:rPr>
                <w:rFonts w:ascii="Arial" w:hAnsi="Arial"/>
                <w:sz w:val="17"/>
              </w:rPr>
            </w:r>
            <w:r>
              <w:rPr>
                <w:rFonts w:ascii="Arial" w:hAnsi="Arial"/>
                <w:sz w:val="17"/>
              </w:rPr>
              <w:t>✎ Period for payment</w:t>
            </w:r>
          </w:p>
        </w:tc>
        <w:tc>
          <w:tcPr>
            <w:tcW w:type="dxa" w:w="4320"/>
          </w:tcPr>
          <w:p>
            <w:r>
              <w:rPr>
                <w:rFonts w:ascii="Arial" w:hAnsi="Arial"/>
                <w:sz w:val="17"/>
              </w:rPr>
            </w:r>
            <w:r>
              <w:rPr>
                <w:rFonts w:ascii="Arial" w:hAnsi="Arial"/>
                <w:b/>
                <w:sz w:val="17"/>
              </w:rPr>
              <w:t>45 days from the Contractor's certification of the Subcontractor's application</w:t>
            </w:r>
          </w:p>
        </w:tc>
      </w:tr>
      <w:tr>
        <w:tc>
          <w:tcPr>
            <w:tcW w:type="dxa" w:w="4320"/>
          </w:tcPr>
          <w:p>
            <w:r>
              <w:rPr>
                <w:rFonts w:ascii="Arial" w:hAnsi="Arial"/>
                <w:sz w:val="17"/>
              </w:rPr>
            </w:r>
            <w:r>
              <w:rPr>
                <w:rFonts w:ascii="Arial" w:hAnsi="Arial"/>
                <w:sz w:val="17"/>
              </w:rPr>
              <w:t>✎ Defects liability period</w:t>
            </w:r>
          </w:p>
        </w:tc>
        <w:tc>
          <w:tcPr>
            <w:tcW w:type="dxa" w:w="4320"/>
          </w:tcPr>
          <w:p>
            <w:r>
              <w:rPr>
                <w:rFonts w:ascii="Arial" w:hAnsi="Arial"/>
                <w:sz w:val="17"/>
              </w:rPr>
            </w:r>
            <w:r>
              <w:rPr>
                <w:rFonts w:ascii="Arial" w:hAnsi="Arial"/>
                <w:b/>
                <w:sz w:val="17"/>
              </w:rPr>
              <w:t>24 months from Taking Over of the Section to which the works relate</w:t>
            </w:r>
          </w:p>
        </w:tc>
      </w:tr>
      <w:tr>
        <w:tc>
          <w:tcPr>
            <w:tcW w:type="dxa" w:w="4320"/>
          </w:tcPr>
          <w:p>
            <w:r>
              <w:rPr>
                <w:rFonts w:ascii="Arial" w:hAnsi="Arial"/>
                <w:sz w:val="17"/>
              </w:rPr>
            </w:r>
            <w:r>
              <w:rPr>
                <w:rFonts w:ascii="Arial" w:hAnsi="Arial"/>
                <w:sz w:val="17"/>
              </w:rPr>
              <w:t>✎ Limit of the Subcontractor's liability</w:t>
            </w:r>
          </w:p>
        </w:tc>
        <w:tc>
          <w:tcPr>
            <w:tcW w:type="dxa" w:w="4320"/>
          </w:tcPr>
          <w:p>
            <w:r>
              <w:rPr>
                <w:rFonts w:ascii="Arial" w:hAnsi="Arial"/>
                <w:sz w:val="17"/>
              </w:rPr>
            </w:r>
            <w:r>
              <w:rPr>
                <w:rFonts w:ascii="Arial" w:hAnsi="Arial"/>
                <w:b/>
                <w:sz w:val="17"/>
              </w:rPr>
              <w:t>The Subcontract Sum</w:t>
            </w:r>
          </w:p>
        </w:tc>
      </w:tr>
      <w:tr>
        <w:tc>
          <w:tcPr>
            <w:tcW w:type="dxa" w:w="4320"/>
          </w:tcPr>
          <w:p>
            <w:r>
              <w:rPr>
                <w:rFonts w:ascii="Arial" w:hAnsi="Arial"/>
                <w:sz w:val="17"/>
              </w:rPr>
            </w:r>
            <w:r>
              <w:rPr>
                <w:rFonts w:ascii="Arial" w:hAnsi="Arial"/>
                <w:sz w:val="17"/>
              </w:rPr>
              <w:t>✎ Professional indemnity insurance</w:t>
            </w:r>
          </w:p>
        </w:tc>
        <w:tc>
          <w:tcPr>
            <w:tcW w:type="dxa" w:w="4320"/>
          </w:tcPr>
          <w:p>
            <w:r>
              <w:rPr>
                <w:rFonts w:ascii="Arial" w:hAnsi="Arial"/>
                <w:sz w:val="17"/>
              </w:rPr>
            </w:r>
            <w:r>
              <w:rPr>
                <w:rFonts w:ascii="Arial" w:hAnsi="Arial"/>
                <w:b/>
                <w:sz w:val="17"/>
              </w:rPr>
              <w:t>EUR 10,000,000 each and every claim, maintained for 6 years from Taking Over of Section 4</w:t>
            </w:r>
          </w:p>
        </w:tc>
      </w:tr>
      <w:tr>
        <w:tc>
          <w:tcPr>
            <w:tcW w:type="dxa" w:w="4320"/>
          </w:tcPr>
          <w:p>
            <w:r>
              <w:rPr>
                <w:rFonts w:ascii="Arial" w:hAnsi="Arial"/>
                <w:sz w:val="17"/>
              </w:rPr>
            </w:r>
            <w:r>
              <w:rPr>
                <w:rFonts w:ascii="Arial" w:hAnsi="Arial"/>
                <w:sz w:val="17"/>
              </w:rPr>
              <w:t>✎ Third party liability insurance</w:t>
            </w:r>
          </w:p>
        </w:tc>
        <w:tc>
          <w:tcPr>
            <w:tcW w:type="dxa" w:w="4320"/>
          </w:tcPr>
          <w:p>
            <w:r>
              <w:rPr>
                <w:rFonts w:ascii="Arial" w:hAnsi="Arial"/>
                <w:sz w:val="17"/>
              </w:rPr>
            </w:r>
            <w:r>
              <w:rPr>
                <w:rFonts w:ascii="Arial" w:hAnsi="Arial"/>
                <w:b/>
                <w:sz w:val="17"/>
              </w:rPr>
              <w:t>EUR 5,000,000 per occurrence, unlimited in the aggregate</w:t>
            </w:r>
          </w:p>
        </w:tc>
      </w:tr>
      <w:tr>
        <w:tc>
          <w:tcPr>
            <w:tcW w:type="dxa" w:w="4320"/>
          </w:tcPr>
          <w:p>
            <w:r>
              <w:rPr>
                <w:rFonts w:ascii="Arial" w:hAnsi="Arial"/>
                <w:sz w:val="17"/>
              </w:rPr>
            </w:r>
            <w:r>
              <w:rPr>
                <w:rFonts w:ascii="Arial" w:hAnsi="Arial"/>
                <w:sz w:val="17"/>
              </w:rPr>
              <w:t>✎ Performance security</w:t>
            </w:r>
          </w:p>
        </w:tc>
        <w:tc>
          <w:tcPr>
            <w:tcW w:type="dxa" w:w="4320"/>
          </w:tcPr>
          <w:p>
            <w:r>
              <w:rPr>
                <w:rFonts w:ascii="Arial" w:hAnsi="Arial"/>
                <w:sz w:val="17"/>
              </w:rPr>
            </w:r>
            <w:r>
              <w:rPr>
                <w:rFonts w:ascii="Arial" w:hAnsi="Arial"/>
                <w:b/>
                <w:sz w:val="17"/>
              </w:rPr>
              <w:t>10% of the Subcontract Sum, on-demand bank guarantee</w:t>
            </w:r>
          </w:p>
        </w:tc>
      </w:tr>
      <w:tr>
        <w:tc>
          <w:tcPr>
            <w:tcW w:type="dxa" w:w="4320"/>
          </w:tcPr>
          <w:p>
            <w:r>
              <w:rPr>
                <w:rFonts w:ascii="Arial" w:hAnsi="Arial"/>
                <w:sz w:val="17"/>
              </w:rPr>
            </w:r>
            <w:r>
              <w:rPr>
                <w:rFonts w:ascii="Arial" w:hAnsi="Arial"/>
                <w:sz w:val="17"/>
              </w:rPr>
              <w:t>✎ Performance guarantee security</w:t>
            </w:r>
          </w:p>
        </w:tc>
        <w:tc>
          <w:tcPr>
            <w:tcW w:type="dxa" w:w="4320"/>
          </w:tcPr>
          <w:p>
            <w:r>
              <w:rPr>
                <w:rFonts w:ascii="Arial" w:hAnsi="Arial"/>
                <w:sz w:val="17"/>
              </w:rPr>
            </w:r>
            <w:r>
              <w:rPr>
                <w:rFonts w:ascii="Arial" w:hAnsi="Arial"/>
                <w:b/>
                <w:sz w:val="17"/>
              </w:rPr>
              <w:t>5% of the Subcontract Sum, on-demand bank guarantee, held until the performance tests in Clause 2.2 are passed</w:t>
            </w:r>
          </w:p>
        </w:tc>
      </w:tr>
      <w:tr>
        <w:tc>
          <w:tcPr>
            <w:tcW w:type="dxa" w:w="4320"/>
          </w:tcPr>
          <w:p>
            <w:r>
              <w:rPr>
                <w:rFonts w:ascii="Arial" w:hAnsi="Arial"/>
                <w:sz w:val="17"/>
              </w:rPr>
            </w:r>
            <w:r>
              <w:rPr>
                <w:rFonts w:ascii="Arial" w:hAnsi="Arial"/>
                <w:sz w:val="17"/>
              </w:rPr>
              <w:t>✎ Governing law</w:t>
            </w:r>
          </w:p>
        </w:tc>
        <w:tc>
          <w:tcPr>
            <w:tcW w:type="dxa" w:w="4320"/>
          </w:tcPr>
          <w:p>
            <w:r>
              <w:rPr>
                <w:rFonts w:ascii="Arial" w:hAnsi="Arial"/>
                <w:sz w:val="17"/>
              </w:rPr>
            </w:r>
            <w:r>
              <w:rPr>
                <w:rFonts w:ascii="Arial" w:hAnsi="Arial"/>
                <w:b/>
                <w:sz w:val="17"/>
              </w:rPr>
              <w:t>The law of Finland</w:t>
            </w:r>
          </w:p>
        </w:tc>
      </w:tr>
      <w:tr>
        <w:tc>
          <w:tcPr>
            <w:tcW w:type="dxa" w:w="4320"/>
          </w:tcPr>
          <w:p>
            <w:r>
              <w:rPr>
                <w:rFonts w:ascii="Arial" w:hAnsi="Arial"/>
                <w:sz w:val="17"/>
              </w:rPr>
            </w:r>
            <w:r>
              <w:rPr>
                <w:rFonts w:ascii="Arial" w:hAnsi="Arial"/>
                <w:sz w:val="17"/>
              </w:rPr>
              <w:t>✎ Dispute resolution</w:t>
            </w:r>
          </w:p>
        </w:tc>
        <w:tc>
          <w:tcPr>
            <w:tcW w:type="dxa" w:w="4320"/>
          </w:tcPr>
          <w:p>
            <w:r>
              <w:rPr>
                <w:rFonts w:ascii="Arial" w:hAnsi="Arial"/>
                <w:sz w:val="17"/>
              </w:rPr>
            </w:r>
            <w:r>
              <w:rPr>
                <w:rFonts w:ascii="Arial" w:hAnsi="Arial"/>
                <w:b/>
                <w:sz w:val="17"/>
              </w:rPr>
              <w:t>Arbitration under the Rules of the Finland Chamber of Commerce, seat Helsinki, three arbitrators, language English</w:t>
            </w:r>
          </w:p>
        </w:tc>
      </w:tr>
    </w:tbl>
    <w:p/>
    <w:p>
      <w:r>
        <w:rPr>
          <w:color w:val="BBBBBB"/>
        </w:rPr>
        <w:t>____________________________________________________________</w:t>
      </w:r>
    </w:p>
    <w:p>
      <w:pPr>
        <w:pStyle w:val="Heading1"/>
      </w:pPr>
      <w:r>
        <w:t>PART 2 — CONDITIONS</w:t>
      </w:r>
    </w:p>
    <w:p>
      <w:pPr>
        <w:pStyle w:val="Heading2"/>
      </w:pPr>
      <w:r>
        <w:t>Clause 1 — Documents and Priority</w:t>
      </w:r>
    </w:p>
    <w:p>
      <w:r>
        <w:t>1.1 This Subcontract comprises these conditions, the Subcontract Particulars in Part 1, the scope schedule at Appendix A, and the Subcontractor's tender offer reference IL-7729 dated 19 March 2026.</w:t>
      </w:r>
    </w:p>
    <w:p>
      <w:r>
        <w:t>1.2 In the event of conflict, the order of priority is: (a) the Subcontract Particulars, (b) these conditions, (c) the Subcontractor's tender offer, (d) the Contractor's enquiry documents.</w:t>
      </w:r>
    </w:p>
    <w:p>
      <w:r>
        <w:rPr>
          <w:b/>
        </w:rPr>
        <w:t>✎ 1.3 General flow-down.</w:t>
      </w:r>
      <w:r>
        <w:t xml:space="preserve"> The Subcontractor's rights and obligations in relation to the Subcontract Works are co-extensive with the Contractor's rights and obligations under the Main Contract, so far as they apply to those works. The Subcontractor shall not be entitled to time or money in circumstances where the Contractor would not be entitled to the equivalent relief from the Employer, and no entitlement arises unless and to the extent the Contractor recovers from the Employer in respect of the same matter. The Subcontractor has been given a copy of the Main Contract with commercially sensitive rates redacted.</w:t>
      </w:r>
    </w:p>
    <w:p>
      <w:pPr>
        <w:pStyle w:val="Heading2"/>
      </w:pPr>
      <w:r>
        <w:t>Clause 2 — The Subcontract Works</w:t>
      </w:r>
    </w:p>
    <w:p>
      <w:r>
        <w:t>2.1 The Subcontractor shall design, supply, install, test and commission the mechanical works described in Appendix A.</w:t>
      </w:r>
    </w:p>
    <w:p>
      <w:r>
        <w:t>2.2 The Subcontractor shall achieve:</w:t>
      </w:r>
    </w:p>
    <w:p>
      <w:pPr>
        <w:pStyle w:val="ListBullet"/>
      </w:pPr>
      <w:r>
        <w:t>free cooling of not less than 8,300 hours per year on Vantaa climate data;</w:t>
      </w:r>
    </w:p>
    <w:p>
      <w:pPr>
        <w:pStyle w:val="ListBullet"/>
      </w:pPr>
      <w:r>
        <w:t>waste-heat delivery of not less than 4 MW at not less than 70 °C flow to the</w:t>
      </w:r>
    </w:p>
    <w:p>
      <w:r>
        <w:t xml:space="preserve">  site boundary chamber, demonstrated by a 72-hour witnessed delivery test   carried out within the district-heating season (October to April);</w:t>
      </w:r>
    </w:p>
    <w:p>
      <w:pPr>
        <w:pStyle w:val="ListBullet"/>
      </w:pPr>
      <w:r>
        <w:t>water use effectiveness not exceeding 0.25 L/kWh for the mechanical systems.</w:t>
      </w:r>
    </w:p>
    <w:p>
      <w:r>
        <w:rPr>
          <w:b/>
        </w:rPr>
        <w:t>✎ 2.3 Performance guarantee.</w:t>
      </w:r>
      <w:r>
        <w:t xml:space="preserve"> The Subcontractor shall exercise the reasonable skill and care of a competent designer of mechanical systems of similar type and scale. Notwithstanding that standard, and mirroring the Contractor's obligation under the Main Contract, the Subcontractor </w:t>
      </w:r>
      <w:r>
        <w:rPr>
          <w:b/>
        </w:rPr>
        <w:t>guarantees</w:t>
      </w:r>
      <w:r>
        <w:t xml:space="preserve"> that the mechanical systems will achieve the contribution to annualised PUE, to water use effectiveness, to facility availability and to the waste-heat delivery obligation attributable to those systems, as demonstrated by the tests specified in the Employer's Requirements. This guarantee is secured by the performance guarantee security stated in Part 1.</w:t>
      </w:r>
    </w:p>
    <w:p>
      <w:r>
        <w:rPr>
          <w:b/>
        </w:rPr>
        <w:t>✎ 2.4 Errors in the Employer's Requirements.</w:t>
      </w:r>
      <w:r>
        <w:t xml:space="preserve"> Where the Contractor bears the risk of an error in the Employer's Requirements under the Main Contract, that risk passes to the Subcontractor to the extent the error relates to the Subcontract Works, on the same terms and subject to the same limits.</w:t>
      </w:r>
    </w:p>
    <w:p>
      <w:pPr>
        <w:pStyle w:val="Heading2"/>
      </w:pPr>
      <w:r>
        <w:t>Clause 3 — Programme</w:t>
      </w:r>
    </w:p>
    <w:p>
      <w:r>
        <w:rPr>
          <w:b/>
        </w:rPr>
        <w:t>✎ 3.1</w:t>
      </w:r>
      <w:r>
        <w:t xml:space="preserve"> The Subcontractor shall complete the Subcontract Works within the Period for Completion </w:t>
      </w:r>
      <w:r>
        <w:rPr>
          <w:b/>
        </w:rPr>
        <w:t>and shall meet each of the Sectional Dates</w:t>
      </w:r>
      <w:r>
        <w:t xml:space="preserve"> stated in Part 1.</w:t>
      </w:r>
    </w:p>
    <w:p>
      <w:r>
        <w:t xml:space="preserve">3.2 The Subcontractor shall provide a baseline programme within 21 days of instruction. </w:t>
      </w:r>
      <w:r>
        <w:rPr>
          <w:b/>
        </w:rPr>
        <w:t>✎ The programme shall show each Sectional Date as a separate milestone, shall adopt the project working calendar PDC-CAL-001, and shall reflect the procurement lead times in PDC-LT-001.</w:t>
      </w:r>
    </w:p>
    <w:p>
      <w:r>
        <w:rPr>
          <w:b/>
        </w:rPr>
        <w:t>✎ 3.3</w:t>
      </w:r>
      <w:r>
        <w:t xml:space="preserve"> The Subcontractor shall plan and resource its works to the Sectional Dates, and acknowledges that the data halls are handed over progressively rather than simultaneously.</w:t>
      </w:r>
    </w:p>
    <w:p>
      <w:pPr>
        <w:pStyle w:val="Heading2"/>
      </w:pPr>
      <w:r>
        <w:t>Clause 4 — Extension of Time</w:t>
      </w:r>
    </w:p>
    <w:p>
      <w:r>
        <w:t xml:space="preserve">4.1 The Subcontractor is entitled to an extension of time where completion of any Section is delayed by an act or omission of the Contractor, a variation, or a cause beyond the Subcontractor's reasonable control, </w:t>
      </w:r>
      <w:r>
        <w:rPr>
          <w:b/>
        </w:rPr>
        <w:t>✎ but only to the extent the Contractor obtains a corresponding extension under the Main Contract.</w:t>
      </w:r>
    </w:p>
    <w:p>
      <w:r>
        <w:rPr>
          <w:b/>
        </w:rPr>
        <w:t>✎ 4.2</w:t>
      </w:r>
      <w:r>
        <w:t xml:space="preserve"> Where a delay for which the Subcontractor is responsible is concurrent with a delay falling within Clause 4.1, the Engineer's or Contractor's apportionment shall apply: the Subcontractor is entitled to an extension of time only for the apportioned share attributable to the Contractor's or Employer's risk events, </w:t>
      </w:r>
      <w:r>
        <w:rPr>
          <w:b/>
        </w:rPr>
        <w:t>and is not entitled to Cost for any period of concurrent delay.</w:t>
      </w:r>
    </w:p>
    <w:p>
      <w:r>
        <w:rPr>
          <w:b/>
        </w:rPr>
        <w:t>✎ 4.3</w:t>
      </w:r>
      <w:r>
        <w:t xml:space="preserve"> The Subcontractor shall notify the Contractor within </w:t>
      </w:r>
      <w:r>
        <w:rPr>
          <w:b/>
        </w:rPr>
        <w:t>21 days</w:t>
      </w:r>
      <w:r>
        <w:t xml:space="preserve"> of becoming aware of the event. </w:t>
      </w:r>
      <w:r>
        <w:rPr>
          <w:b/>
        </w:rPr>
        <w:t>If notice is not given within that period the Subcontractor loses its entitlement to time and money in respect of that event.</w:t>
      </w:r>
      <w:r>
        <w:t xml:space="preserve"> The period is shorter than the Main Contract's 28 days so that the Contractor can pass the notice upstream in time.</w:t>
      </w:r>
    </w:p>
    <w:p>
      <w:pPr>
        <w:pStyle w:val="Heading2"/>
      </w:pPr>
      <w:r>
        <w:t>Clause 5 — Delay Damages</w:t>
      </w:r>
    </w:p>
    <w:p>
      <w:r>
        <w:t>5.1 If the Subcontractor fails to complete a Section by its Sectional Date, the Subcontractor shall pay the Contractor liquidated damages at the rate stated in Part 1 for each day of delay to that Section.</w:t>
      </w:r>
    </w:p>
    <w:p>
      <w:r>
        <w:rPr>
          <w:b/>
        </w:rPr>
        <w:t>✎ 5.2</w:t>
      </w:r>
      <w:r>
        <w:t xml:space="preserve"> Liquidated damages under this clause are subject to the aggregate limit stated in Part 1.</w:t>
      </w:r>
    </w:p>
    <w:p>
      <w:r>
        <w:t>5.3 Liquidated damages are the Contractor's sole financial remedy for delayed completion.</w:t>
      </w:r>
    </w:p>
    <w:p>
      <w:r>
        <w:rPr>
          <w:b/>
        </w:rPr>
        <w:t>✎ 5.4</w:t>
      </w:r>
      <w:r>
        <w:t xml:space="preserve"> The Contractor may deduct liquidated damages accrued under this clause from any amount otherwise due to the Subcontractor.</w:t>
      </w:r>
    </w:p>
    <w:p>
      <w:pPr>
        <w:pStyle w:val="Heading2"/>
      </w:pPr>
      <w:r>
        <w:t>Clause 6 — Payment</w:t>
      </w:r>
    </w:p>
    <w:p>
      <w:r>
        <w:rPr>
          <w:b/>
        </w:rPr>
        <w:t>✎ 6.1</w:t>
      </w:r>
      <w:r>
        <w:t xml:space="preserve"> The Subcontractor shall submit a monthly application. The Contractor shall certify the amount properly due within 14 days and shall pay it within the Period for Payment stated in Part 1, which runs from certification. Payment is not conditional on the Contractor's receipt of payment from the Employer.</w:t>
      </w:r>
    </w:p>
    <w:p>
      <w:r>
        <w:t>6.2 The Contractor shall deduct retention at the percentage stated in Part 1,</w:t>
      </w:r>
    </w:p>
    <w:p>
      <w:r>
        <w:rPr>
          <w:b/>
        </w:rPr>
        <w:t>✎ released as stated there.</w:t>
      </w:r>
    </w:p>
    <w:p>
      <w:r>
        <w:rPr>
          <w:b/>
        </w:rPr>
        <w:t>✎ 6.3</w:t>
      </w:r>
      <w:r>
        <w:t xml:space="preserve"> Interest on late payment accrues at 2% per annum above the European Central Bank main refinancing rate.</w:t>
      </w:r>
    </w:p>
    <w:p>
      <w:pPr>
        <w:pStyle w:val="Heading2"/>
      </w:pPr>
      <w:r>
        <w:t>Clause 7 — Variations</w:t>
      </w:r>
    </w:p>
    <w:p>
      <w:r>
        <w:t>7.1 The Contractor may instruct variations to the Subcontract Works.</w:t>
      </w:r>
    </w:p>
    <w:p>
      <w:r>
        <w:t>7.2 The value of a variation shall be agreed between the parties.</w:t>
      </w:r>
    </w:p>
    <w:p>
      <w:r>
        <w:rPr>
          <w:b/>
        </w:rPr>
        <w:t>✎ 7.3</w:t>
      </w:r>
      <w:r>
        <w:t xml:space="preserve"> The Subcontractor shall commence execution of any instructed variation promptly on receipt of the instruction and shall not suspend or delay it pending agreement of its value. Where the value has not been agreed within 28 days, the Contractor shall make an interim valuation and certify that amount in the next payment, without prejudice to the final agreement or determination.</w:t>
      </w:r>
    </w:p>
    <w:p>
      <w:pPr>
        <w:pStyle w:val="Heading2"/>
      </w:pPr>
      <w:r>
        <w:t>Clause 8 — Defects</w:t>
      </w:r>
    </w:p>
    <w:p>
      <w:r>
        <w:rPr>
          <w:b/>
        </w:rPr>
        <w:t>✎ 8.1</w:t>
      </w:r>
      <w:r>
        <w:t xml:space="preserve"> The Subcontractor shall make good defects notified during the Defects Liability Period stated in Part 1, which runs from Taking Over of the Section to which the works relate.</w:t>
      </w:r>
    </w:p>
    <w:p>
      <w:pPr>
        <w:pStyle w:val="Heading2"/>
      </w:pPr>
      <w:r>
        <w:t>Clause 9 — Liability and Insurance</w:t>
      </w:r>
    </w:p>
    <w:p>
      <w:r>
        <w:rPr>
          <w:b/>
        </w:rPr>
        <w:t>✎ 9.1</w:t>
      </w:r>
      <w:r>
        <w:t xml:space="preserve"> The Subcontractor's total liability arising out of or in connection with this Subcontract is limited to the Subcontract Sum.</w:t>
      </w:r>
    </w:p>
    <w:p>
      <w:r>
        <w:rPr>
          <w:b/>
        </w:rPr>
        <w:t>✎ 9.2</w:t>
      </w:r>
      <w:r>
        <w:t xml:space="preserve"> Nothing in this Subcontract limits liability for death or personal injury caused by negligence, for fraud, for wilful misconduct, </w:t>
      </w:r>
      <w:r>
        <w:rPr>
          <w:b/>
        </w:rPr>
        <w:t>for abandonment of the Subcontract Works, or for the proceeds of any insurance</w:t>
      </w:r>
      <w:r>
        <w:t xml:space="preserve"> — mirroring the carve-outs in the Main Contract.</w:t>
      </w:r>
    </w:p>
    <w:p>
      <w:r>
        <w:t xml:space="preserve">9.3 The Subcontractor shall maintain the insurances stated in Part 1 </w:t>
      </w:r>
      <w:r>
        <w:rPr>
          <w:b/>
        </w:rPr>
        <w:t>✎ and shall produce certificates of currency to the Contractor on request.</w:t>
      </w:r>
    </w:p>
    <w:p>
      <w:r>
        <w:rPr>
          <w:b/>
        </w:rPr>
        <w:t>✎ 9.4 Unforeseeable physical conditions.</w:t>
      </w:r>
      <w:r>
        <w:t xml:space="preserve"> Where the Contractor is entitled to time or Cost from the Employer for unforeseeable physical conditions affecting the Subcontract Works, the Subcontractor is entitled to the same relief from the Contractor, to the same extent and on the same terms.</w:t>
      </w:r>
    </w:p>
    <w:p>
      <w:pPr>
        <w:pStyle w:val="Heading2"/>
      </w:pPr>
      <w:r>
        <w:t>Clause 10 — Performance</w:t>
      </w:r>
    </w:p>
    <w:p>
      <w:r>
        <w:t xml:space="preserve">10.1 The Subcontractor shall provide the performance security </w:t>
      </w:r>
      <w:r>
        <w:rPr>
          <w:b/>
        </w:rPr>
        <w:t>✎ and the performance guarantee security</w:t>
      </w:r>
      <w:r>
        <w:t xml:space="preserve"> stated in Part 1 within 28 days of execution.</w:t>
      </w:r>
    </w:p>
    <w:p>
      <w:pPr>
        <w:pStyle w:val="Heading2"/>
      </w:pPr>
      <w:r>
        <w:t>Clause 11 — Compliance</w:t>
      </w:r>
    </w:p>
    <w:p>
      <w:r>
        <w:t>11.1 The Subcontractor shall comply with applicable law and with the Contractor's site rules.</w:t>
      </w:r>
    </w:p>
    <w:p>
      <w:r>
        <w:rPr>
          <w:b/>
        </w:rPr>
        <w:t>✎ 11.2</w:t>
      </w:r>
      <w:r>
        <w:t xml:space="preserve"> The Subcontractor shall provide the Contractor with evidence of its compliance with the Act on the Contractor's Obligations and Liability when Work is Contracted Out (1233/2006) on execution and thereafter at intervals not exceeding </w:t>
      </w:r>
      <w:r>
        <w:rPr>
          <w:b/>
        </w:rPr>
        <w:t>three months</w:t>
      </w:r>
      <w:r>
        <w:t>, and shall procure the same from its own subcontractors, so that the Contractor can discharge its obligation to the Engineer.</w:t>
      </w:r>
    </w:p>
    <w:p>
      <w:pPr>
        <w:pStyle w:val="Heading2"/>
      </w:pPr>
      <w:r>
        <w:t>Clause 12 — Termination</w:t>
      </w:r>
    </w:p>
    <w:p>
      <w:r>
        <w:t>12.1 Either party may terminate for the other's material breach not remedied within 30 days of notice.</w:t>
      </w:r>
    </w:p>
    <w:p>
      <w:pPr>
        <w:pStyle w:val="Heading2"/>
      </w:pPr>
      <w:r>
        <w:t>Clause 13 — Law and Disputes</w:t>
      </w:r>
    </w:p>
    <w:p>
      <w:r>
        <w:t>13.1 This Subcontract is governed by the law stated in Part 1.</w:t>
      </w:r>
    </w:p>
    <w:p>
      <w:r>
        <w:t>13.2 Any dispute shall be finally resolved by arbitration as stated in Part 1.</w:t>
      </w:r>
    </w:p>
    <w:p>
      <w:r>
        <w:rPr>
          <w:b/>
        </w:rPr>
        <w:t>✎ The parties consent to joinder or consolidation with any arbitration between the Contractor and the Employer arising out of substantially the same facts.</w:t>
      </w:r>
    </w:p>
    <w:p>
      <w:r>
        <w:rPr>
          <w:color w:val="BBBBBB"/>
        </w:rPr>
        <w:t>____________________________________________________________</w:t>
      </w:r>
    </w:p>
    <w:p>
      <w:pPr>
        <w:pStyle w:val="Heading1"/>
      </w:pPr>
      <w:r>
        <w:t>APPENDIX A — SCOPE SCHEDULE</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Arial" w:hAnsi="Arial"/>
                <w:b/>
                <w:sz w:val="17"/>
              </w:rPr>
            </w:r>
            <w:r>
              <w:rPr>
                <w:rFonts w:ascii="Arial" w:hAnsi="Arial"/>
                <w:b/>
                <w:sz w:val="17"/>
              </w:rPr>
              <w:t>Ref</w:t>
            </w:r>
          </w:p>
        </w:tc>
        <w:tc>
          <w:tcPr>
            <w:tcW w:type="dxa" w:w="2880"/>
          </w:tcPr>
          <w:p>
            <w:r>
              <w:rPr>
                <w:rFonts w:ascii="Arial" w:hAnsi="Arial"/>
                <w:b/>
                <w:sz w:val="17"/>
              </w:rPr>
            </w:r>
            <w:r>
              <w:rPr>
                <w:rFonts w:ascii="Arial" w:hAnsi="Arial"/>
                <w:b/>
                <w:sz w:val="17"/>
              </w:rPr>
              <w:t>Description</w:t>
            </w:r>
          </w:p>
        </w:tc>
        <w:tc>
          <w:tcPr>
            <w:tcW w:type="dxa" w:w="2880"/>
          </w:tcPr>
          <w:p>
            <w:r>
              <w:rPr>
                <w:rFonts w:ascii="Arial" w:hAnsi="Arial"/>
                <w:b/>
                <w:sz w:val="17"/>
              </w:rPr>
            </w:r>
            <w:r>
              <w:rPr>
                <w:rFonts w:ascii="Arial" w:hAnsi="Arial"/>
                <w:b/>
                <w:sz w:val="17"/>
              </w:rPr>
              <w:t>Value (EUR)</w:t>
            </w:r>
          </w:p>
        </w:tc>
      </w:tr>
      <w:tr>
        <w:tc>
          <w:tcPr>
            <w:tcW w:type="dxa" w:w="2880"/>
          </w:tcPr>
          <w:p>
            <w:r>
              <w:rPr>
                <w:rFonts w:ascii="Arial" w:hAnsi="Arial"/>
                <w:sz w:val="17"/>
              </w:rPr>
            </w:r>
            <w:r>
              <w:rPr>
                <w:rFonts w:ascii="Arial" w:hAnsi="Arial"/>
                <w:sz w:val="17"/>
              </w:rPr>
              <w:t>TP-005.01</w:t>
            </w:r>
          </w:p>
        </w:tc>
        <w:tc>
          <w:tcPr>
            <w:tcW w:type="dxa" w:w="2880"/>
          </w:tcPr>
          <w:p>
            <w:r>
              <w:rPr>
                <w:rFonts w:ascii="Arial" w:hAnsi="Arial"/>
                <w:sz w:val="17"/>
              </w:rPr>
            </w:r>
            <w:r>
              <w:rPr>
                <w:rFonts w:ascii="Arial" w:hAnsi="Arial"/>
                <w:sz w:val="17"/>
              </w:rPr>
              <w:t>Chillers, 4 nr, N+1 configuration</w:t>
            </w:r>
          </w:p>
        </w:tc>
        <w:tc>
          <w:tcPr>
            <w:tcW w:type="dxa" w:w="2880"/>
          </w:tcPr>
          <w:p>
            <w:r>
              <w:rPr>
                <w:rFonts w:ascii="Arial" w:hAnsi="Arial"/>
                <w:sz w:val="17"/>
              </w:rPr>
            </w:r>
            <w:r>
              <w:rPr>
                <w:rFonts w:ascii="Arial" w:hAnsi="Arial"/>
                <w:sz w:val="17"/>
              </w:rPr>
              <w:t>6,842,000</w:t>
            </w:r>
          </w:p>
        </w:tc>
      </w:tr>
      <w:tr>
        <w:tc>
          <w:tcPr>
            <w:tcW w:type="dxa" w:w="2880"/>
          </w:tcPr>
          <w:p>
            <w:r>
              <w:rPr>
                <w:rFonts w:ascii="Arial" w:hAnsi="Arial"/>
                <w:sz w:val="17"/>
              </w:rPr>
            </w:r>
            <w:r>
              <w:rPr>
                <w:rFonts w:ascii="Arial" w:hAnsi="Arial"/>
                <w:sz w:val="17"/>
              </w:rPr>
              <w:t>TP-005.02</w:t>
            </w:r>
          </w:p>
        </w:tc>
        <w:tc>
          <w:tcPr>
            <w:tcW w:type="dxa" w:w="2880"/>
          </w:tcPr>
          <w:p>
            <w:r>
              <w:rPr>
                <w:rFonts w:ascii="Arial" w:hAnsi="Arial"/>
                <w:sz w:val="17"/>
              </w:rPr>
            </w:r>
            <w:r>
              <w:rPr>
                <w:rFonts w:ascii="Arial" w:hAnsi="Arial"/>
                <w:sz w:val="17"/>
              </w:rPr>
              <w:t>Dry coolers / adiabatic units, 10 nr</w:t>
            </w:r>
          </w:p>
        </w:tc>
        <w:tc>
          <w:tcPr>
            <w:tcW w:type="dxa" w:w="2880"/>
          </w:tcPr>
          <w:p>
            <w:r>
              <w:rPr>
                <w:rFonts w:ascii="Arial" w:hAnsi="Arial"/>
                <w:sz w:val="17"/>
              </w:rPr>
            </w:r>
            <w:r>
              <w:rPr>
                <w:rFonts w:ascii="Arial" w:hAnsi="Arial"/>
                <w:sz w:val="17"/>
              </w:rPr>
              <w:t>2,914,400</w:t>
            </w:r>
          </w:p>
        </w:tc>
      </w:tr>
      <w:tr>
        <w:tc>
          <w:tcPr>
            <w:tcW w:type="dxa" w:w="2880"/>
          </w:tcPr>
          <w:p>
            <w:r>
              <w:rPr>
                <w:rFonts w:ascii="Arial" w:hAnsi="Arial"/>
                <w:sz w:val="17"/>
              </w:rPr>
            </w:r>
            <w:r>
              <w:rPr>
                <w:rFonts w:ascii="Arial" w:hAnsi="Arial"/>
                <w:sz w:val="17"/>
              </w:rPr>
              <w:t>TP-005.03</w:t>
            </w:r>
          </w:p>
        </w:tc>
        <w:tc>
          <w:tcPr>
            <w:tcW w:type="dxa" w:w="2880"/>
          </w:tcPr>
          <w:p>
            <w:r>
              <w:rPr>
                <w:rFonts w:ascii="Arial" w:hAnsi="Arial"/>
                <w:sz w:val="17"/>
              </w:rPr>
            </w:r>
            <w:r>
              <w:rPr>
                <w:rFonts w:ascii="Arial" w:hAnsi="Arial"/>
                <w:sz w:val="17"/>
              </w:rPr>
              <w:t>CRAH units, 7 per hall, N+1</w:t>
            </w:r>
          </w:p>
        </w:tc>
        <w:tc>
          <w:tcPr>
            <w:tcW w:type="dxa" w:w="2880"/>
          </w:tcPr>
          <w:p>
            <w:r>
              <w:rPr>
                <w:rFonts w:ascii="Arial" w:hAnsi="Arial"/>
                <w:sz w:val="17"/>
              </w:rPr>
            </w:r>
            <w:r>
              <w:rPr>
                <w:rFonts w:ascii="Arial" w:hAnsi="Arial"/>
                <w:sz w:val="17"/>
              </w:rPr>
              <w:t>5,120,600</w:t>
            </w:r>
          </w:p>
        </w:tc>
      </w:tr>
      <w:tr>
        <w:tc>
          <w:tcPr>
            <w:tcW w:type="dxa" w:w="2880"/>
          </w:tcPr>
          <w:p>
            <w:r>
              <w:rPr>
                <w:rFonts w:ascii="Arial" w:hAnsi="Arial"/>
                <w:sz w:val="17"/>
              </w:rPr>
            </w:r>
            <w:r>
              <w:rPr>
                <w:rFonts w:ascii="Arial" w:hAnsi="Arial"/>
                <w:sz w:val="17"/>
              </w:rPr>
              <w:t>TP-005.04</w:t>
            </w:r>
          </w:p>
        </w:tc>
        <w:tc>
          <w:tcPr>
            <w:tcW w:type="dxa" w:w="2880"/>
          </w:tcPr>
          <w:p>
            <w:r>
              <w:rPr>
                <w:rFonts w:ascii="Arial" w:hAnsi="Arial"/>
                <w:sz w:val="17"/>
              </w:rPr>
            </w:r>
            <w:r>
              <w:rPr>
                <w:rFonts w:ascii="Arial" w:hAnsi="Arial"/>
                <w:sz w:val="17"/>
              </w:rPr>
              <w:t>Chilled water pipework, pumps, buffer vessels, glycol dosing</w:t>
            </w:r>
          </w:p>
        </w:tc>
        <w:tc>
          <w:tcPr>
            <w:tcW w:type="dxa" w:w="2880"/>
          </w:tcPr>
          <w:p>
            <w:r>
              <w:rPr>
                <w:rFonts w:ascii="Arial" w:hAnsi="Arial"/>
                <w:sz w:val="17"/>
              </w:rPr>
            </w:r>
            <w:r>
              <w:rPr>
                <w:rFonts w:ascii="Arial" w:hAnsi="Arial"/>
                <w:sz w:val="17"/>
              </w:rPr>
              <w:t>3,988,200</w:t>
            </w:r>
          </w:p>
        </w:tc>
      </w:tr>
      <w:tr>
        <w:tc>
          <w:tcPr>
            <w:tcW w:type="dxa" w:w="2880"/>
          </w:tcPr>
          <w:p>
            <w:r>
              <w:rPr>
                <w:rFonts w:ascii="Arial" w:hAnsi="Arial"/>
                <w:sz w:val="17"/>
              </w:rPr>
            </w:r>
            <w:r>
              <w:rPr>
                <w:rFonts w:ascii="Arial" w:hAnsi="Arial"/>
                <w:sz w:val="17"/>
              </w:rPr>
              <w:t>TP-005.05</w:t>
            </w:r>
          </w:p>
        </w:tc>
        <w:tc>
          <w:tcPr>
            <w:tcW w:type="dxa" w:w="2880"/>
          </w:tcPr>
          <w:p>
            <w:r>
              <w:rPr>
                <w:rFonts w:ascii="Arial" w:hAnsi="Arial"/>
                <w:sz w:val="17"/>
              </w:rPr>
            </w:r>
            <w:r>
              <w:rPr>
                <w:rFonts w:ascii="Arial" w:hAnsi="Arial"/>
                <w:sz w:val="17"/>
              </w:rPr>
              <w:t>Waste-heat recovery plant, 4 MW at 70 °C to boundary chamber</w:t>
            </w:r>
          </w:p>
        </w:tc>
        <w:tc>
          <w:tcPr>
            <w:tcW w:type="dxa" w:w="2880"/>
          </w:tcPr>
          <w:p>
            <w:r>
              <w:rPr>
                <w:rFonts w:ascii="Arial" w:hAnsi="Arial"/>
                <w:sz w:val="17"/>
              </w:rPr>
            </w:r>
            <w:r>
              <w:rPr>
                <w:rFonts w:ascii="Arial" w:hAnsi="Arial"/>
                <w:sz w:val="17"/>
              </w:rPr>
              <w:t>1,940,000</w:t>
            </w:r>
          </w:p>
        </w:tc>
      </w:tr>
      <w:tr>
        <w:tc>
          <w:tcPr>
            <w:tcW w:type="dxa" w:w="2880"/>
          </w:tcPr>
          <w:p>
            <w:r>
              <w:rPr>
                <w:rFonts w:ascii="Arial" w:hAnsi="Arial"/>
                <w:sz w:val="17"/>
              </w:rPr>
            </w:r>
            <w:r>
              <w:rPr>
                <w:rFonts w:ascii="Arial" w:hAnsi="Arial"/>
                <w:sz w:val="17"/>
              </w:rPr>
              <w:t>TP-005.06</w:t>
            </w:r>
          </w:p>
        </w:tc>
        <w:tc>
          <w:tcPr>
            <w:tcW w:type="dxa" w:w="2880"/>
          </w:tcPr>
          <w:p>
            <w:r>
              <w:rPr>
                <w:rFonts w:ascii="Arial" w:hAnsi="Arial"/>
                <w:sz w:val="17"/>
              </w:rPr>
            </w:r>
            <w:r>
              <w:rPr>
                <w:rFonts w:ascii="Arial" w:hAnsi="Arial"/>
                <w:sz w:val="17"/>
              </w:rPr>
              <w:t>Ventilation, smoke extract and comfort cooling to ancillary areas</w:t>
            </w:r>
          </w:p>
        </w:tc>
        <w:tc>
          <w:tcPr>
            <w:tcW w:type="dxa" w:w="2880"/>
          </w:tcPr>
          <w:p>
            <w:r>
              <w:rPr>
                <w:rFonts w:ascii="Arial" w:hAnsi="Arial"/>
                <w:sz w:val="17"/>
              </w:rPr>
            </w:r>
            <w:r>
              <w:rPr>
                <w:rFonts w:ascii="Arial" w:hAnsi="Arial"/>
                <w:sz w:val="17"/>
              </w:rPr>
              <w:t>968,400</w:t>
            </w:r>
          </w:p>
        </w:tc>
      </w:tr>
      <w:tr>
        <w:tc>
          <w:tcPr>
            <w:tcW w:type="dxa" w:w="2880"/>
          </w:tcPr>
          <w:p>
            <w:r>
              <w:rPr>
                <w:rFonts w:ascii="Arial" w:hAnsi="Arial"/>
                <w:sz w:val="17"/>
              </w:rPr>
            </w:r>
            <w:r>
              <w:rPr>
                <w:rFonts w:ascii="Arial" w:hAnsi="Arial"/>
                <w:sz w:val="17"/>
              </w:rPr>
              <w:t>TP-005.07</w:t>
            </w:r>
          </w:p>
        </w:tc>
        <w:tc>
          <w:tcPr>
            <w:tcW w:type="dxa" w:w="2880"/>
          </w:tcPr>
          <w:p>
            <w:r>
              <w:rPr>
                <w:rFonts w:ascii="Arial" w:hAnsi="Arial"/>
                <w:sz w:val="17"/>
              </w:rPr>
            </w:r>
            <w:r>
              <w:rPr>
                <w:rFonts w:ascii="Arial" w:hAnsi="Arial"/>
                <w:sz w:val="17"/>
              </w:rPr>
              <w:t>Water treatment and adiabatic make-up</w:t>
            </w:r>
          </w:p>
        </w:tc>
        <w:tc>
          <w:tcPr>
            <w:tcW w:type="dxa" w:w="2880"/>
          </w:tcPr>
          <w:p>
            <w:r>
              <w:rPr>
                <w:rFonts w:ascii="Arial" w:hAnsi="Arial"/>
                <w:sz w:val="17"/>
              </w:rPr>
            </w:r>
            <w:r>
              <w:rPr>
                <w:rFonts w:ascii="Arial" w:hAnsi="Arial"/>
                <w:sz w:val="17"/>
              </w:rPr>
              <w:t>313,280</w:t>
            </w:r>
          </w:p>
        </w:tc>
      </w:tr>
      <w:tr>
        <w:tc>
          <w:tcPr>
            <w:tcW w:type="dxa" w:w="2880"/>
          </w:tcPr>
          <w:p>
            <w:r>
              <w:rPr>
                <w:rFonts w:ascii="Arial" w:hAnsi="Arial"/>
                <w:sz w:val="17"/>
              </w:rPr>
            </w:r>
            <w:r>
              <w:rPr>
                <w:rFonts w:ascii="Arial" w:hAnsi="Arial"/>
                <w:sz w:val="17"/>
              </w:rPr>
              <w:t>TP-005.08</w:t>
            </w:r>
          </w:p>
        </w:tc>
        <w:tc>
          <w:tcPr>
            <w:tcW w:type="dxa" w:w="2880"/>
          </w:tcPr>
          <w:p>
            <w:r>
              <w:rPr>
                <w:rFonts w:ascii="Arial" w:hAnsi="Arial"/>
                <w:sz w:val="17"/>
              </w:rPr>
            </w:r>
            <w:r>
              <w:rPr>
                <w:rFonts w:ascii="Arial" w:hAnsi="Arial"/>
                <w:sz w:val="17"/>
              </w:rPr>
              <w:t>Mechanical commissioning support to L4 and L5</w:t>
            </w:r>
          </w:p>
        </w:tc>
        <w:tc>
          <w:tcPr>
            <w:tcW w:type="dxa" w:w="2880"/>
          </w:tcPr>
          <w:p>
            <w:r>
              <w:rPr>
                <w:rFonts w:ascii="Arial" w:hAnsi="Arial"/>
                <w:sz w:val="17"/>
              </w:rPr>
            </w:r>
            <w:r>
              <w:rPr>
                <w:rFonts w:ascii="Arial" w:hAnsi="Arial"/>
                <w:sz w:val="17"/>
              </w:rPr>
              <w:t>200,000</w:t>
            </w:r>
          </w:p>
        </w:tc>
      </w:tr>
      <w:tr>
        <w:tc>
          <w:tcPr>
            <w:tcW w:type="dxa" w:w="2880"/>
          </w:tcPr>
          <w:p>
            <w:r>
              <w:rPr>
                <w:rFonts w:ascii="Arial" w:hAnsi="Arial"/>
                <w:sz w:val="17"/>
              </w:rPr>
            </w:r>
          </w:p>
        </w:tc>
        <w:tc>
          <w:tcPr>
            <w:tcW w:type="dxa" w:w="2880"/>
          </w:tcPr>
          <w:p>
            <w:r>
              <w:rPr>
                <w:rFonts w:ascii="Arial" w:hAnsi="Arial"/>
                <w:sz w:val="17"/>
              </w:rPr>
            </w:r>
            <w:r>
              <w:rPr>
                <w:rFonts w:ascii="Arial" w:hAnsi="Arial"/>
                <w:b/>
                <w:sz w:val="17"/>
              </w:rPr>
              <w:t>Total</w:t>
            </w:r>
          </w:p>
        </w:tc>
        <w:tc>
          <w:tcPr>
            <w:tcW w:type="dxa" w:w="2880"/>
          </w:tcPr>
          <w:p>
            <w:r>
              <w:rPr>
                <w:rFonts w:ascii="Arial" w:hAnsi="Arial"/>
                <w:sz w:val="17"/>
              </w:rPr>
            </w:r>
            <w:r>
              <w:rPr>
                <w:rFonts w:ascii="Arial" w:hAnsi="Arial"/>
                <w:b/>
                <w:sz w:val="17"/>
              </w:rPr>
              <w:t>22,286,880</w:t>
            </w:r>
          </w:p>
        </w:tc>
      </w:tr>
    </w:tbl>
    <w:p/>
    <w:p>
      <w:r>
        <w:rPr>
          <w:color w:val="BBBBBB"/>
        </w:rPr>
        <w:t>____________________________________________________________</w:t>
      </w:r>
    </w:p>
    <w:p>
      <w:pPr>
        <w:pStyle w:val="Heading1"/>
      </w:pPr>
      <w:r>
        <w:t>SIGNATURES</w:t>
      </w:r>
    </w:p>
    <w:p>
      <w:r>
        <w:t>For and on behalf of NordBuild Oy</w:t>
      </w:r>
    </w:p>
    <w:p>
      <w:r>
        <w:t>Signed: .............................. Date: ..................</w:t>
      </w:r>
    </w:p>
    <w:p>
      <w:r>
        <w:t>For and on behalf of Ilmatek LVI Oy</w:t>
      </w:r>
    </w:p>
    <w:p>
      <w:r>
        <w:t>Signed: .............................. Date: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