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F2E4C"/>
        </w:rPr>
        <w:t xml:space="preserve">Review of Ilmatek LVI Oy Baseline Programme Submission</w:t>
      </w:r>
    </w:p>
    <w:p>
      <w:pPr>
        <w:pStyle w:val="Heading1"/>
        <w:pBdr>
          <w:bottom w:val="single" w:color="1F6FB2" w:sz="6"/>
        </w:pBdr>
        <w:spacing w:after="120" w:before="240"/>
      </w:pPr>
      <w:r>
        <w:rPr>
          <w:b/>
          <w:bCs/>
          <w:color w:val="0F2E4C"/>
        </w:rPr>
        <w:t xml:space="preserve">PDC-SCH-005 Rev 0 — TP-005 Mechanical Works</w:t>
      </w:r>
    </w:p>
    <w:p>
      <w:pPr>
        <w:spacing w:after="120"/>
      </w:pPr>
      <w:r>
        <w:t xml:space="preserve">---</w:t>
      </w:r>
    </w:p>
    <w:p>
      <w:pPr>
        <w:spacing w:after="120"/>
      </w:pPr>
      <w:r>
        <w:rPr>
          <w:b/>
          <w:bCs/>
        </w:rPr>
        <w:t xml:space="preserve">Verdict: REJECT — Revise and Resubmit</w:t>
      </w:r>
    </w:p>
    <w:p>
      <w:pPr>
        <w:spacing w:after="120"/>
      </w:pPr>
      <w:r>
        <w:rPr>
          <w:b/>
          <w:bCs/>
        </w:rPr>
        <w:t xml:space="preserve">Review Date:</w:t>
      </w:r>
      <w:r>
        <w:t xml:space="preserve"> 4 August 2026 </w:t>
      </w:r>
      <w:r>
        <w:rPr>
          <w:b/>
          <w:bCs/>
        </w:rPr>
        <w:t xml:space="preserve">Reviewer:</w:t>
      </w:r>
      <w:r>
        <w:t xml:space="preserve"> Planning Engineer, Polaris DC-1 Project Team </w:t>
      </w:r>
      <w:r>
        <w:rPr>
          <w:b/>
          <w:bCs/>
        </w:rPr>
        <w:t xml:space="preserve">Submission:</w:t>
      </w:r>
      <w:r>
        <w:t xml:space="preserve"> PDC-SCH-005 Rev 0, Ilmatek LVI Oy Baseline Programme </w:t>
      </w:r>
      <w:r>
        <w:rPr>
          <w:b/>
          <w:bCs/>
        </w:rPr>
        <w:t xml:space="preserve">Governing Documents:</w:t>
      </w:r>
    </w:p>
    <w:p>
      <w:pPr>
        <w:spacing w:after="120"/>
      </w:pPr>
      <w:r>
        <w:rPr>
          <w:b/>
          <w:bCs/>
        </w:rPr>
        <w:t xml:space="preserve">Package Value:</w:t>
      </w:r>
      <w:r>
        <w:t xml:space="preserve"> €22,176,000 (BoQ Section F)</w:t>
      </w:r>
    </w:p>
    <w:p>
      <w:pPr>
        <w:spacing w:after="120"/>
      </w:pPr>
      <w:r>
        <w:rPr>
          <w:b/>
          <w:bCs/>
        </w:rPr>
        <w:t xml:space="preserve">Note:</w:t>
      </w:r>
      <w:r>
        <w:t xml:space="preserve"> The submission header references PDC-SUB-005 Rev 0, which has been superseded by Rev 1. Rev 1 contains the governing sectional dates, programme obligations, and scope definition. The submission must be re-issued against Rev 1.</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Document</w:t>
            </w:r>
          </w:p>
        </w:tc>
        <w:tc>
          <w:tcPr>
            <w:shd w:fill="0F2E4C" w:val="clear"/>
          </w:tcPr>
          <w:p>
            <w:pPr>
              <w:jc w:val="left"/>
            </w:pPr>
            <w:r>
              <w:rPr>
                <w:b/>
                <w:bCs/>
                <w:color w:val="FFFFFF"/>
              </w:rPr>
              <w:t xml:space="preserve">Reference</w:t>
            </w:r>
          </w:p>
        </w:tc>
        <w:tc>
          <w:tcPr>
            <w:shd w:fill="0F2E4C" w:val="clear"/>
          </w:tcPr>
          <w:p>
            <w:pPr>
              <w:jc w:val="left"/>
            </w:pPr>
            <w:r>
              <w:rPr>
                <w:b/>
                <w:bCs/>
                <w:color w:val="FFFFFF"/>
              </w:rPr>
              <w:t xml:space="preserve">Role</w:t>
            </w:r>
          </w:p>
        </w:tc>
      </w:tr>
      <w:tr>
        <w:trPr>
          <w:tblHeader w:val="false"/>
        </w:trPr>
        <w:tc>
          <w:p>
            <w:r>
              <w:t xml:space="preserve">Awarded Subcontract</w:t>
            </w:r>
          </w:p>
        </w:tc>
        <w:tc>
          <w:p>
            <w:r>
              <w:t xml:space="preserve">PDC-SUB-005 Rev 1</w:t>
            </w:r>
          </w:p>
        </w:tc>
        <w:tc>
          <w:p>
            <w:r>
              <w:t xml:space="preserve">Governing — defines scope, programme obligations, sectional dates, delay damages</w:t>
            </w:r>
          </w:p>
        </w:tc>
      </w:tr>
      <w:tr>
        <w:trPr>
          <w:tblHeader w:val="false"/>
        </w:trPr>
        <w:tc>
          <w:tcPr>
            <w:shd w:fill="F5F5F5" w:val="clear"/>
          </w:tcPr>
          <w:p>
            <w:r>
              <w:t xml:space="preserve">Master Baseline Schedule</w:t>
            </w:r>
          </w:p>
        </w:tc>
        <w:tc>
          <w:tcPr>
            <w:shd w:fill="F5F5F5" w:val="clear"/>
          </w:tcPr>
          <w:p>
            <w:r>
              <w:t xml:space="preserve">polaris</w:t>
            </w:r>
            <w:r>
              <w:rPr>
                <w:i/>
                <w:iCs/>
              </w:rPr>
              <w:t xml:space="preserve">dc</w:t>
            </w:r>
            <w:r>
              <w:t xml:space="preserve">1</w:t>
            </w:r>
            <w:r>
              <w:rPr>
                <w:i/>
                <w:iCs/>
              </w:rPr>
              <w:t xml:space="preserve">baseline</w:t>
            </w:r>
            <w:r>
              <w:t xml:space="preserve">workbook.xlsx</w:t>
            </w:r>
          </w:p>
        </w:tc>
        <w:tc>
          <w:tcPr>
            <w:shd w:fill="F5F5F5" w:val="clear"/>
          </w:tcPr>
          <w:p>
            <w:r>
              <w:t xml:space="preserve">Reference — coordination baseline</w:t>
            </w:r>
          </w:p>
        </w:tc>
      </w:tr>
      <w:tr>
        <w:trPr>
          <w:tblHeader w:val="false"/>
        </w:trPr>
        <w:tc>
          <w:p>
            <w:r>
              <w:t xml:space="preserve">Working Calendar</w:t>
            </w:r>
          </w:p>
        </w:tc>
        <w:tc>
          <w:p>
            <w:r>
              <w:t xml:space="preserve">PDC-CAL-001</w:t>
            </w:r>
          </w:p>
        </w:tc>
        <w:tc>
          <w:p>
            <w:r>
              <w:t xml:space="preserve">Governing — Clause 3.2 requires adoption</w:t>
            </w:r>
          </w:p>
        </w:tc>
      </w:tr>
      <w:tr>
        <w:trPr>
          <w:tblHeader w:val="false"/>
        </w:trPr>
        <w:tc>
          <w:tcPr>
            <w:shd w:fill="F5F5F5" w:val="clear"/>
          </w:tcPr>
          <w:p>
            <w:r>
              <w:t xml:space="preserve">Procurement Lead-Time Register</w:t>
            </w:r>
          </w:p>
        </w:tc>
        <w:tc>
          <w:tcPr>
            <w:shd w:fill="F5F5F5" w:val="clear"/>
          </w:tcPr>
          <w:p>
            <w:r>
              <w:t xml:space="preserve">PDC-LT-001</w:t>
            </w:r>
          </w:p>
        </w:tc>
        <w:tc>
          <w:tcPr>
            <w:shd w:fill="F5F5F5" w:val="clear"/>
          </w:tcPr>
          <w:p>
            <w:r>
              <w:t xml:space="preserve">Governing — Clause 3.2 requires reflection</w:t>
            </w:r>
          </w:p>
        </w:tc>
      </w:tr>
      <w:tr>
        <w:trPr>
          <w:tblHeader w:val="false"/>
        </w:trPr>
        <w:tc>
          <w:p>
            <w:r>
              <w:t xml:space="preserve">Sectional Completion Schedule</w:t>
            </w:r>
          </w:p>
        </w:tc>
        <w:tc>
          <w:p>
            <w:r>
              <w:t xml:space="preserve">PDC-SC-001</w:t>
            </w:r>
          </w:p>
        </w:tc>
        <w:tc>
          <w:p>
            <w:r>
              <w:t xml:space="preserve">Governing — referenced in Part 1 of the subcontract</w:t>
            </w:r>
          </w:p>
        </w:tc>
      </w:tr>
      <w:tr>
        <w:trPr>
          <w:tblHeader w:val="false"/>
        </w:trPr>
        <w:tc>
          <w:tcPr>
            <w:shd w:fill="F5F5F5" w:val="clear"/>
          </w:tcPr>
          <w:p>
            <w:r>
              <w:t xml:space="preserve">Bill of Quantities</w:t>
            </w:r>
          </w:p>
        </w:tc>
        <w:tc>
          <w:tcPr>
            <w:shd w:fill="F5F5F5" w:val="clear"/>
          </w:tcPr>
          <w:p>
            <w:r>
              <w:t xml:space="preserve">PDC-BOQ-001, Section F</w:t>
            </w:r>
          </w:p>
        </w:tc>
        <w:tc>
          <w:tcPr>
            <w:shd w:fill="F5F5F5" w:val="clear"/>
          </w:tcPr>
          <w:p>
            <w:r>
              <w:t xml:space="preserve">Reference — quantities for duration verification</w:t>
            </w:r>
          </w:p>
        </w:tc>
      </w:tr>
    </w:tbl>
    <w:p/>
    <w:p>
      <w:pPr>
        <w:pStyle w:val="Heading1"/>
        <w:pBdr>
          <w:bottom w:val="single" w:color="1F6FB2" w:sz="6"/>
        </w:pBdr>
        <w:spacing w:after="120" w:before="240"/>
      </w:pPr>
      <w:r>
        <w:rPr>
          <w:b/>
          <w:bCs/>
          <w:color w:val="0F2E4C"/>
        </w:rPr>
        <w:t xml:space="preserve">1. Executive Summary</w:t>
      </w:r>
    </w:p>
    <w:p>
      <w:pPr>
        <w:spacing w:after="120"/>
      </w:pPr>
      <w:r>
        <w:t xml:space="preserve">The submission is </w:t>
      </w:r>
      <w:r>
        <w:rPr>
          <w:b/>
          <w:bCs/>
        </w:rPr>
        <w:t xml:space="preserve">not fit for acceptance</w:t>
      </w:r>
      <w:r>
        <w:t xml:space="preserve">. Six showstopper findings — each independently fatal and each anchored to a specific subcontract clause — make the programme undeliverable as planned. The schedule uses the wrong calendar (breaching Clause 3.2), omits all four sectional completion milestones required by Clauses 3.1 and 3.2, under-provisions procurement lead times registered in PDC-LT-001 by two to twelve weeks (breaching Clause 3.2), assumes simultaneous plantroom access that contradicts the progressive handover requirement of Clause 3.3, and schedules the waste-heat connection outside the contractual test window required by Clause 2.2. Additionally, a planner's review against the BoQ quantities and the project productivity workbook identifies several durations as materially too short for the stated scope and three sub-steps missing from the activity sequence. Ilmatek must rebuild the programme from the correct governing documents before it can be considered for acceptance.</w:t>
      </w:r>
    </w:p>
    <w:p>
      <w:pPr>
        <w:spacing w:after="120"/>
      </w:pPr>
      <w:r>
        <w:rPr>
          <w:b/>
          <w:bCs/>
        </w:rPr>
        <w:t xml:space="preserve">DCMA 14-Point Score: 41.67 / 100 — FAIL</w:t>
      </w:r>
      <w:r>
        <w:t xml:space="preserve"> </w:t>
      </w:r>
      <w:r>
        <w:rPr>
          <w:b/>
          <w:bCs/>
        </w:rPr>
        <w:t xml:space="preserve">Schedule Lint Score: 71 / 100 — Grade C</w:t>
      </w:r>
      <w:r>
        <w:t xml:space="preserve"> </w:t>
      </w:r>
      <w:r>
        <w:rPr>
          <w:b/>
          <w:bCs/>
        </w:rPr>
        <w:t xml:space="preserve">Independent Review verdict: REVISE — 22 findings</w:t>
      </w:r>
    </w:p>
    <w:p>
      <w:pPr>
        <w:spacing w:after="120"/>
      </w:pPr>
      <w:r>
        <w:t xml:space="preserve">---</w:t>
      </w:r>
    </w:p>
    <w:p>
      <w:pPr>
        <w:pStyle w:val="Heading1"/>
        <w:pBdr>
          <w:bottom w:val="single" w:color="1F6FB2" w:sz="6"/>
        </w:pBdr>
        <w:spacing w:after="120" w:before="240"/>
      </w:pPr>
      <w:r>
        <w:rPr>
          <w:b/>
          <w:bCs/>
          <w:color w:val="0F2E4C"/>
        </w:rPr>
        <w:t xml:space="preserve">2. Contractual Showstoppers</w:t>
      </w:r>
    </w:p>
    <w:p>
      <w:pPr>
        <w:spacing w:after="120"/>
      </w:pPr>
      <w:r>
        <w:rPr>
          <w:i/>
          <w:iCs/>
        </w:rPr>
        <w:t xml:space="preserve">The six findings below are each grounded in a specific clause of the subcontract or a governing document it expressly incorporates. Each is independently a reason to reject the submission.</w:t>
      </w:r>
    </w:p>
    <w:p>
      <w:pPr>
        <w:spacing w:after="120"/>
      </w:pPr>
      <w:r>
        <w:t xml:space="preserve">---</w:t>
      </w:r>
    </w:p>
    <w:p>
      <w:pPr>
        <w:pStyle w:val="Heading1"/>
        <w:pBdr>
          <w:bottom w:val="single" w:color="1F6FB2" w:sz="6"/>
        </w:pBdr>
        <w:spacing w:after="120" w:before="240"/>
      </w:pPr>
      <w:r>
        <w:rPr>
          <w:b/>
          <w:bCs/>
          <w:color w:val="0F2E4C"/>
        </w:rPr>
        <w:t xml:space="preserve">— SHOWSTOPPER 1: Wrong Calendar — Breach of Clause 3.2</w:t>
      </w:r>
    </w:p>
    <w:p>
      <w:pPr>
        <w:spacing w:after="120"/>
      </w:pPr>
      <w:r>
        <w:rPr>
          <w:b/>
          <w:bCs/>
        </w:rPr>
        <w:t xml:space="preserve">Clause 3.2 states:</w:t>
      </w:r>
    </w:p>
    <w:p>
      <w:pPr>
        <w:spacing w:after="120"/>
      </w:pPr>
      <w:r>
        <w:rPr>
          <w:b/>
          <w:bCs/>
        </w:rPr>
        <w:t xml:space="preserve">What PDC-CAL-001 requires:</w:t>
      </w:r>
    </w:p>
    <w:p>
      <w:pPr>
        <w:spacing w:after="120"/>
      </w:pPr>
      <w:r>
        <w:rPr>
          <w:b/>
          <w:bCs/>
        </w:rPr>
        <w:t xml:space="preserve">What Ilmatek submitted:</w:t>
      </w:r>
      <w:r>
        <w:t xml:space="preserve"> A 7-day working week with no public holidays and no summer shutdown.</w:t>
      </w:r>
    </w:p>
    <w:p>
      <w:pPr>
        <w:spacing w:after="120"/>
      </w:pPr>
      <w:r>
        <w:rPr>
          <w:b/>
          <w:bCs/>
        </w:rPr>
        <w:t xml:space="preserve">Impact:</w:t>
      </w:r>
      <w:r>
        <w:t xml:space="preserve"> A 7-day calendar inflates available working days by approximately 40% compared to the contractual 5-day week. Every computed start date, finish date, float value, and the claimed completion date are wrong. The programme cannot be used for progress measurement, delay assessment, look-ahead planning, or earned-value reporting.</w:t>
      </w:r>
    </w:p>
    <w:p>
      <w:pPr>
        <w:spacing w:after="120"/>
      </w:pPr>
      <w:r>
        <w:rPr>
          <w:b/>
          <w:bCs/>
        </w:rPr>
        <w:t xml:space="preserve">Required fix:</w:t>
      </w:r>
      <w:r>
        <w:t xml:space="preserve"> Rebuild the entire programme on PDC-CAL-001 with the correct 5-day working week, summer shutdown periods, and winter productivity allowances for external work.</w:t>
      </w:r>
    </w:p>
    <w:p>
      <w:pPr>
        <w:spacing w:after="120"/>
      </w:pPr>
      <w:r>
        <w:t xml:space="preserve">---</w:t>
      </w:r>
    </w:p>
    <w:p>
      <w:pPr>
        <w:pBdr>
          <w:left w:val="single" w:color="C8842A" w:sz="12" w:space="12"/>
        </w:pBdr>
        <w:ind w:left="360"/>
      </w:pPr>
      <w:r>
        <w:rPr>
          <w:i/>
          <w:iCs/>
          <w:color w:val="6B7280"/>
        </w:rPr>
        <w:t xml:space="preserve">"The programme shall adopt the project working calendar PDC-CAL-001."</w:t>
      </w:r>
    </w:p>
    <w:p>
      <w:pPr>
        <w:pStyle w:val="ListParagraph"/>
        <w:numPr>
          <w:ilvl w:val="0"/>
          <w:numId w:val="1"/>
        </w:numPr>
      </w:pPr>
      <w:r>
        <w:t xml:space="preserve">Working week: Monday to Friday (5-day)</w:t>
      </w:r>
    </w:p>
    <w:p>
      <w:pPr>
        <w:pStyle w:val="ListParagraph"/>
        <w:numPr>
          <w:ilvl w:val="0"/>
          <w:numId w:val="1"/>
        </w:numPr>
      </w:pPr>
      <w:r>
        <w:t xml:space="preserve">Summer reduced-resource shutdown: Weeks 28, 29, 30 (July)</w:t>
      </w:r>
    </w:p>
    <w:p>
      <w:pPr>
        <w:pStyle w:val="ListParagraph"/>
        <w:numPr>
          <w:ilvl w:val="0"/>
          <w:numId w:val="1"/>
        </w:numPr>
      </w:pPr>
      <w:r>
        <w:t xml:space="preserve">Winter productivity allowance: December to March for external work</w:t>
      </w:r>
    </w:p>
    <w:p>
      <w:pPr>
        <w:pStyle w:val="ListParagraph"/>
        <w:numPr>
          <w:ilvl w:val="0"/>
          <w:numId w:val="1"/>
        </w:numPr>
      </w:pPr>
      <w:r>
        <w:t xml:space="preserve">Working hours: 06:00–22:00 (16-hour window)</w:t>
      </w:r>
    </w:p>
    <w:p>
      <w:pPr>
        <w:pStyle w:val="ListParagraph"/>
        <w:numPr>
          <w:ilvl w:val="0"/>
          <w:numId w:val="1"/>
        </w:numPr>
      </w:pPr>
      <w:r>
        <w:t xml:space="preserve">District heating connection window: October to April only</w:t>
      </w:r>
    </w:p>
    <w:p>
      <w:pPr>
        <w:pStyle w:val="Heading1"/>
        <w:pBdr>
          <w:bottom w:val="single" w:color="1F6FB2" w:sz="6"/>
        </w:pBdr>
        <w:spacing w:after="120" w:before="240"/>
      </w:pPr>
      <w:r>
        <w:rPr>
          <w:b/>
          <w:bCs/>
          <w:color w:val="0F2E4C"/>
        </w:rPr>
        <w:t xml:space="preserve">— SHOWSTOPPER 2: No Sectional Completion Milestones — Breach of Clauses 3.1 and 3.2</w:t>
      </w:r>
    </w:p>
    <w:p>
      <w:pPr>
        <w:spacing w:after="120"/>
      </w:pPr>
      <w:r>
        <w:rPr>
          <w:b/>
          <w:bCs/>
        </w:rPr>
        <w:t xml:space="preserve">Clause 3.1 states:</w:t>
      </w:r>
    </w:p>
    <w:p>
      <w:pPr>
        <w:spacing w:after="120"/>
      </w:pPr>
      <w:r>
        <w:rPr>
          <w:b/>
          <w:bCs/>
        </w:rPr>
        <w:t xml:space="preserve">Clause 3.2 states:</w:t>
      </w:r>
    </w:p>
    <w:p>
      <w:pPr>
        <w:spacing w:after="120"/>
      </w:pPr>
      <w:r>
        <w:rPr>
          <w:b/>
          <w:bCs/>
        </w:rPr>
        <w:t xml:space="preserve">Part 1 — Sectional Dates:</w:t>
      </w:r>
    </w:p>
    <w:p>
      <w:pPr>
        <w:spacing w:after="120"/>
      </w:pPr>
      <w:r>
        <w:t xml:space="preserve">Aggregate LD cap: 10% of Subcontract Sum (approximately €2.2M).</w:t>
      </w:r>
    </w:p>
    <w:p>
      <w:pPr>
        <w:spacing w:after="120"/>
      </w:pPr>
      <w:r>
        <w:rPr>
          <w:b/>
          <w:bCs/>
        </w:rPr>
        <w:t xml:space="preserve">What Ilmatek submitted:</w:t>
      </w:r>
      <w:r>
        <w:t xml:space="preserve"> One completion milestone (IL-1740, 2 April 2027). Zero sectional milestones.</w:t>
      </w:r>
    </w:p>
    <w:p>
      <w:pPr>
        <w:spacing w:after="120"/>
      </w:pPr>
      <w:r>
        <w:rPr>
          <w:b/>
          <w:bCs/>
        </w:rPr>
        <w:t xml:space="preserve">Impact:</w:t>
      </w:r>
      <w:r>
        <w:t xml:space="preserve"> The programme provides no mechanism to monitor progress toward the four contractual completion targets or to measure delay damages per section. It fails the most basic contractual programme requirement.</w:t>
      </w:r>
    </w:p>
    <w:p>
      <w:pPr>
        <w:spacing w:after="120"/>
      </w:pPr>
      <w:r>
        <w:rPr>
          <w:b/>
          <w:bCs/>
        </w:rPr>
        <w:t xml:space="preserve">Required fix:</w:t>
      </w:r>
      <w:r>
        <w:t xml:space="preserve"> Restructure the programme with four sectional completion milestones. Phase all installation, testing, and commissioning activities to demonstrate how each section's mechanical works complete by its required date.</w:t>
      </w:r>
    </w:p>
    <w:p>
      <w:pPr>
        <w:spacing w:after="120"/>
      </w:pPr>
      <w:r>
        <w:t xml:space="preserve">---</w:t>
      </w:r>
    </w:p>
    <w:p>
      <w:pPr>
        <w:pBdr>
          <w:left w:val="single" w:color="C8842A" w:sz="12" w:space="12"/>
        </w:pBdr>
        <w:ind w:left="360"/>
      </w:pPr>
      <w:r>
        <w:rPr>
          <w:i/>
          <w:iCs/>
          <w:color w:val="6B7280"/>
        </w:rPr>
        <w:t xml:space="preserve">"The Subcontractor shall complete the Subcontract Works within the Period for Completion and shall meet each of the Sectional Dates stated in Part 1."</w:t>
      </w:r>
    </w:p>
    <w:p>
      <w:pPr>
        <w:pBdr>
          <w:left w:val="single" w:color="C8842A" w:sz="12" w:space="12"/>
        </w:pBdr>
        <w:ind w:left="360"/>
      </w:pPr>
      <w:r>
        <w:rPr>
          <w:i/>
          <w:iCs/>
          <w:color w:val="6B7280"/>
        </w:rPr>
        <w:t xml:space="preserve">"The programme shall show each Sectional Date as a separate milestone."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Section</w:t>
            </w:r>
          </w:p>
        </w:tc>
        <w:tc>
          <w:tcPr>
            <w:shd w:fill="0F2E4C" w:val="clear"/>
          </w:tcPr>
          <w:p>
            <w:pPr>
              <w:jc w:val="left"/>
            </w:pPr>
            <w:r>
              <w:rPr>
                <w:b/>
                <w:bCs/>
                <w:color w:val="FFFFFF"/>
              </w:rPr>
              <w:t xml:space="preserve">Scope</w:t>
            </w:r>
          </w:p>
        </w:tc>
        <w:tc>
          <w:tcPr>
            <w:shd w:fill="0F2E4C" w:val="clear"/>
          </w:tcPr>
          <w:p>
            <w:pPr>
              <w:jc w:val="left"/>
            </w:pPr>
            <w:r>
              <w:rPr>
                <w:b/>
                <w:bCs/>
                <w:color w:val="FFFFFF"/>
              </w:rPr>
              <w:t xml:space="preserve">Mechanical Completion Required</w:t>
            </w:r>
          </w:p>
        </w:tc>
        <w:tc>
          <w:tcPr>
            <w:shd w:fill="0F2E4C" w:val="clear"/>
          </w:tcPr>
          <w:p>
            <w:pPr>
              <w:jc w:val="left"/>
            </w:pPr>
            <w:r>
              <w:rPr>
                <w:b/>
                <w:bCs/>
                <w:color w:val="FFFFFF"/>
              </w:rPr>
              <w:t xml:space="preserve">Delay Damages</w:t>
            </w:r>
          </w:p>
        </w:tc>
      </w:tr>
      <w:tr>
        <w:trPr>
          <w:tblHeader w:val="false"/>
        </w:trPr>
        <w:tc>
          <w:p>
            <w:r>
              <w:t xml:space="preserve">Section 1</w:t>
            </w:r>
          </w:p>
        </w:tc>
        <w:tc>
          <w:p>
            <w:r>
              <w:t xml:space="preserve">Data Hall 1 + shared cooling spine</w:t>
            </w:r>
          </w:p>
        </w:tc>
        <w:tc>
          <w:p>
            <w:r>
              <w:t xml:space="preserve">2 April 2027</w:t>
            </w:r>
          </w:p>
        </w:tc>
        <w:tc>
          <w:p>
            <w:r>
              <w:t xml:space="preserve">€15,000/day</w:t>
            </w:r>
          </w:p>
        </w:tc>
      </w:tr>
      <w:tr>
        <w:trPr>
          <w:tblHeader w:val="false"/>
        </w:trPr>
        <w:tc>
          <w:tcPr>
            <w:shd w:fill="F5F5F5" w:val="clear"/>
          </w:tcPr>
          <w:p>
            <w:r>
              <w:t xml:space="preserve">Section 2</w:t>
            </w:r>
          </w:p>
        </w:tc>
        <w:tc>
          <w:tcPr>
            <w:shd w:fill="F5F5F5" w:val="clear"/>
          </w:tcPr>
          <w:p>
            <w:r>
              <w:t xml:space="preserve">Data Hall 2</w:t>
            </w:r>
          </w:p>
        </w:tc>
        <w:tc>
          <w:tcPr>
            <w:shd w:fill="F5F5F5" w:val="clear"/>
          </w:tcPr>
          <w:p>
            <w:r>
              <w:t xml:space="preserve">2 June 2027</w:t>
            </w:r>
          </w:p>
        </w:tc>
        <w:tc>
          <w:tcPr>
            <w:shd w:fill="F5F5F5" w:val="clear"/>
          </w:tcPr>
          <w:p>
            <w:r>
              <w:t xml:space="preserve">€15,000/day</w:t>
            </w:r>
          </w:p>
        </w:tc>
      </w:tr>
      <w:tr>
        <w:trPr>
          <w:tblHeader w:val="false"/>
        </w:trPr>
        <w:tc>
          <w:p>
            <w:r>
              <w:t xml:space="preserve">Section 3</w:t>
            </w:r>
          </w:p>
        </w:tc>
        <w:tc>
          <w:p>
            <w:r>
              <w:t xml:space="preserve">Data Hall 3</w:t>
            </w:r>
          </w:p>
        </w:tc>
        <w:tc>
          <w:p>
            <w:r>
              <w:t xml:space="preserve">2 September 2027</w:t>
            </w:r>
          </w:p>
        </w:tc>
        <w:tc>
          <w:p>
            <w:r>
              <w:t xml:space="preserve">€15,000/day</w:t>
            </w:r>
          </w:p>
        </w:tc>
      </w:tr>
      <w:tr>
        <w:trPr>
          <w:tblHeader w:val="false"/>
        </w:trPr>
        <w:tc>
          <w:tcPr>
            <w:shd w:fill="F5F5F5" w:val="clear"/>
          </w:tcPr>
          <w:p>
            <w:r>
              <w:t xml:space="preserve">Section 4</w:t>
            </w:r>
          </w:p>
        </w:tc>
        <w:tc>
          <w:tcPr>
            <w:shd w:fill="F5F5F5" w:val="clear"/>
          </w:tcPr>
          <w:p>
            <w:r>
              <w:t xml:space="preserve">Data Hall 4</w:t>
            </w:r>
          </w:p>
        </w:tc>
        <w:tc>
          <w:tcPr>
            <w:shd w:fill="F5F5F5" w:val="clear"/>
          </w:tcPr>
          <w:p>
            <w:r>
              <w:t xml:space="preserve">2 December 2027</w:t>
            </w:r>
          </w:p>
        </w:tc>
        <w:tc>
          <w:tcPr>
            <w:shd w:fill="F5F5F5" w:val="clear"/>
          </w:tcPr>
          <w:p>
            <w:r>
              <w:t xml:space="preserve">€15,000/day</w:t>
            </w:r>
          </w:p>
        </w:tc>
      </w:tr>
    </w:tbl>
    <w:p/>
    <w:p>
      <w:pPr>
        <w:pStyle w:val="Heading1"/>
        <w:pBdr>
          <w:bottom w:val="single" w:color="1F6FB2" w:sz="6"/>
        </w:pBdr>
        <w:spacing w:after="120" w:before="240"/>
      </w:pPr>
      <w:r>
        <w:rPr>
          <w:b/>
          <w:bCs/>
          <w:color w:val="0F2E4C"/>
        </w:rPr>
        <w:t xml:space="preserve">— SHOWSTOPPER 3: Procurement Lead Times Undersized — Breach of Clause 3.2 and PDC-LT-001</w:t>
      </w:r>
    </w:p>
    <w:p>
      <w:pPr>
        <w:spacing w:after="120"/>
      </w:pPr>
      <w:r>
        <w:rPr>
          <w:b/>
          <w:bCs/>
        </w:rPr>
        <w:t xml:space="preserve">Clause 3.2 states:</w:t>
      </w:r>
    </w:p>
    <w:p>
      <w:pPr>
        <w:spacing w:after="120"/>
      </w:pPr>
      <w:r>
        <w:rPr>
          <w:b/>
          <w:bCs/>
        </w:rPr>
        <w:t xml:space="preserve">PDC-LT-001 registered lead times vs Ilmatek submission:</w:t>
      </w:r>
    </w:p>
    <w:p>
      <w:pPr>
        <w:spacing w:after="120"/>
      </w:pPr>
      <w:r>
        <w:rPr>
          <w:b/>
          <w:bCs/>
        </w:rPr>
        <w:t xml:space="preserve">Impact:</w:t>
      </w:r>
      <w:r>
        <w:t xml:space="preserve"> The CRAH procurement chain (IL-1240 → IL-1250 → IL-1530 → IL-1700 → IL-1710 → IL-1740) is the critical path. A 2-week shortfall on CRAH delivery propagates directly to the completion date. On the correct 5-day calendar the shortfall widens further. Even if the CRAH chain were corrected, the chiller and WHR shortfalls mean those items cannot arrive when the schedule assumes, and they would become the new critical path.</w:t>
      </w:r>
    </w:p>
    <w:p>
      <w:pPr>
        <w:spacing w:after="120"/>
      </w:pPr>
      <w:r>
        <w:rPr>
          <w:b/>
          <w:bCs/>
        </w:rPr>
        <w:t xml:space="preserve">Required fix:</w:t>
      </w:r>
      <w:r>
        <w:t xml:space="preserve"> Extend all procurement durations to match PDC-LT-001 registered lead times. Re-sequence downstream installation to reflect the later delivery dates.</w:t>
      </w:r>
    </w:p>
    <w:p>
      <w:pPr>
        <w:spacing w:after="120"/>
      </w:pPr>
      <w:r>
        <w:t xml:space="preserve">---</w:t>
      </w:r>
    </w:p>
    <w:p>
      <w:pPr>
        <w:pBdr>
          <w:left w:val="single" w:color="C8842A" w:sz="12" w:space="12"/>
        </w:pBdr>
        <w:ind w:left="360"/>
      </w:pPr>
      <w:r>
        <w:rPr>
          <w:i/>
          <w:iCs/>
          <w:color w:val="6B7280"/>
        </w:rPr>
        <w:t xml:space="preserve">"The programme shall reflect the procurement lead times in PDC-LT-001."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2E4C" w:val="clear"/>
          </w:tcPr>
          <w:p>
            <w:pPr>
              <w:jc w:val="left"/>
            </w:pPr>
            <w:r>
              <w:rPr>
                <w:b/>
                <w:bCs/>
                <w:color w:val="FFFFFF"/>
              </w:rPr>
              <w:t xml:space="preserve">BoQ Ref</w:t>
            </w:r>
          </w:p>
        </w:tc>
        <w:tc>
          <w:tcPr>
            <w:shd w:fill="0F2E4C" w:val="clear"/>
          </w:tcPr>
          <w:p>
            <w:pPr>
              <w:jc w:val="left"/>
            </w:pPr>
            <w:r>
              <w:rPr>
                <w:b/>
                <w:bCs/>
                <w:color w:val="FFFFFF"/>
              </w:rPr>
              <w:t xml:space="preserve">Item</w:t>
            </w:r>
          </w:p>
        </w:tc>
        <w:tc>
          <w:tcPr>
            <w:shd w:fill="0F2E4C" w:val="clear"/>
          </w:tcPr>
          <w:p>
            <w:pPr>
              <w:jc w:val="left"/>
            </w:pPr>
            <w:r>
              <w:rPr>
                <w:b/>
                <w:bCs/>
                <w:color w:val="FFFFFF"/>
              </w:rPr>
              <w:t xml:space="preserve">Ilmatek Duration</w:t>
            </w:r>
          </w:p>
        </w:tc>
        <w:tc>
          <w:tcPr>
            <w:shd w:fill="0F2E4C" w:val="clear"/>
          </w:tcPr>
          <w:p>
            <w:pPr>
              <w:jc w:val="left"/>
            </w:pPr>
            <w:r>
              <w:rPr>
                <w:b/>
                <w:bCs/>
                <w:color w:val="FFFFFF"/>
              </w:rPr>
              <w:t xml:space="preserve">PDC-LT-001 Required</w:t>
            </w:r>
          </w:p>
        </w:tc>
        <w:tc>
          <w:tcPr>
            <w:shd w:fill="0F2E4C" w:val="clear"/>
          </w:tcPr>
          <w:p>
            <w:pPr>
              <w:jc w:val="left"/>
            </w:pPr>
            <w:r>
              <w:rPr>
                <w:b/>
                <w:bCs/>
                <w:color w:val="FFFFFF"/>
              </w:rPr>
              <w:t xml:space="preserve">Shortfall</w:t>
            </w:r>
          </w:p>
        </w:tc>
        <w:tc>
          <w:tcPr>
            <w:shd w:fill="0F2E4C" w:val="clear"/>
          </w:tcPr>
          <w:p>
            <w:pPr>
              <w:jc w:val="left"/>
            </w:pPr>
            <w:r>
              <w:rPr>
                <w:b/>
                <w:bCs/>
                <w:color w:val="FFFFFF"/>
              </w:rPr>
              <w:t xml:space="preserve">On Critical Path?</w:t>
            </w:r>
          </w:p>
        </w:tc>
      </w:tr>
      <w:tr>
        <w:trPr>
          <w:tblHeader w:val="false"/>
        </w:trPr>
        <w:tc>
          <w:p>
            <w:r>
              <w:t xml:space="preserve">F.01</w:t>
            </w:r>
          </w:p>
        </w:tc>
        <w:tc>
          <w:p>
            <w:r>
              <w:t xml:space="preserve">Chillers, 4 nr</w:t>
            </w:r>
          </w:p>
        </w:tc>
        <w:tc>
          <w:p>
            <w:r>
              <w:t xml:space="preserve">112 days (16 wks)</w:t>
            </w:r>
          </w:p>
        </w:tc>
        <w:tc>
          <w:p>
            <w:r>
              <w:t xml:space="preserve">LT-07: 26 weeks</w:t>
            </w:r>
          </w:p>
        </w:tc>
        <w:tc>
          <w:p>
            <w:r>
              <w:rPr>
                <w:b/>
                <w:bCs/>
              </w:rPr>
              <w:t xml:space="preserve">10 weeks</w:t>
            </w:r>
          </w:p>
        </w:tc>
        <w:tc>
          <w:p>
            <w:r>
              <w:t xml:space="preserve">No</w:t>
            </w:r>
          </w:p>
        </w:tc>
      </w:tr>
      <w:tr>
        <w:trPr>
          <w:tblHeader w:val="false"/>
        </w:trPr>
        <w:tc>
          <w:tcPr>
            <w:shd w:fill="F5F5F5" w:val="clear"/>
          </w:tcPr>
          <w:p>
            <w:r>
              <w:t xml:space="preserve">F.02</w:t>
            </w:r>
          </w:p>
        </w:tc>
        <w:tc>
          <w:tcPr>
            <w:shd w:fill="F5F5F5" w:val="clear"/>
          </w:tcPr>
          <w:p>
            <w:r>
              <w:t xml:space="preserve">Dry coolers, 10 nr</w:t>
            </w:r>
          </w:p>
        </w:tc>
        <w:tc>
          <w:tcPr>
            <w:shd w:fill="F5F5F5" w:val="clear"/>
          </w:tcPr>
          <w:p>
            <w:r>
              <w:t xml:space="preserve">140 days (20 wks)</w:t>
            </w:r>
          </w:p>
        </w:tc>
        <w:tc>
          <w:tcPr>
            <w:shd w:fill="F5F5F5" w:val="clear"/>
          </w:tcPr>
          <w:p>
            <w:r>
              <w:t xml:space="preserve">LT-08: 22 weeks</w:t>
            </w:r>
          </w:p>
        </w:tc>
        <w:tc>
          <w:tcPr>
            <w:shd w:fill="F5F5F5" w:val="clear"/>
          </w:tcPr>
          <w:p>
            <w:r>
              <w:rPr>
                <w:b/>
                <w:bCs/>
              </w:rPr>
              <w:t xml:space="preserve">2 weeks</w:t>
            </w:r>
          </w:p>
        </w:tc>
        <w:tc>
          <w:tcPr>
            <w:shd w:fill="F5F5F5" w:val="clear"/>
          </w:tcPr>
          <w:p>
            <w:r>
              <w:t xml:space="preserve">No</w:t>
            </w:r>
          </w:p>
        </w:tc>
      </w:tr>
      <w:tr>
        <w:trPr>
          <w:tblHeader w:val="false"/>
        </w:trPr>
        <w:tc>
          <w:p>
            <w:r>
              <w:t xml:space="preserve">F.03</w:t>
            </w:r>
          </w:p>
        </w:tc>
        <w:tc>
          <w:p>
            <w:r>
              <w:t xml:space="preserve">CRAH units, 28 nr</w:t>
            </w:r>
          </w:p>
        </w:tc>
        <w:tc>
          <w:p>
            <w:r>
              <w:t xml:space="preserve">140 days (20 wks)</w:t>
            </w:r>
          </w:p>
        </w:tc>
        <w:tc>
          <w:p>
            <w:r>
              <w:t xml:space="preserve">LT-09: 22 weeks</w:t>
            </w:r>
          </w:p>
        </w:tc>
        <w:tc>
          <w:p>
            <w:r>
              <w:rPr>
                <w:b/>
                <w:bCs/>
              </w:rPr>
              <w:t xml:space="preserve">2 weeks</w:t>
            </w:r>
          </w:p>
        </w:tc>
        <w:tc>
          <w:p>
            <w:r>
              <w:rPr>
                <w:b/>
                <w:bCs/>
              </w:rPr>
              <w:t xml:space="preserve">Yes</w:t>
            </w:r>
          </w:p>
        </w:tc>
      </w:tr>
      <w:tr>
        <w:trPr>
          <w:tblHeader w:val="false"/>
        </w:trPr>
        <w:tc>
          <w:tcPr>
            <w:shd w:fill="F5F5F5" w:val="clear"/>
          </w:tcPr>
          <w:p>
            <w:r>
              <w:t xml:space="preserve">F.08</w:t>
            </w:r>
          </w:p>
        </w:tc>
        <w:tc>
          <w:tcPr>
            <w:shd w:fill="F5F5F5" w:val="clear"/>
          </w:tcPr>
          <w:p>
            <w:r>
              <w:t xml:space="preserve">WHR plant</w:t>
            </w:r>
          </w:p>
        </w:tc>
        <w:tc>
          <w:tcPr>
            <w:shd w:fill="F5F5F5" w:val="clear"/>
          </w:tcPr>
          <w:p>
            <w:r>
              <w:t xml:space="preserve">126 days (18 wks)</w:t>
            </w:r>
          </w:p>
        </w:tc>
        <w:tc>
          <w:tcPr>
            <w:shd w:fill="F5F5F5" w:val="clear"/>
          </w:tcPr>
          <w:p>
            <w:r>
              <w:t xml:space="preserve">LT-10: 30 weeks</w:t>
            </w:r>
          </w:p>
        </w:tc>
        <w:tc>
          <w:tcPr>
            <w:shd w:fill="F5F5F5" w:val="clear"/>
          </w:tcPr>
          <w:p>
            <w:r>
              <w:rPr>
                <w:b/>
                <w:bCs/>
              </w:rPr>
              <w:t xml:space="preserve">12 weeks</w:t>
            </w:r>
          </w:p>
        </w:tc>
        <w:tc>
          <w:tcPr>
            <w:shd w:fill="F5F5F5" w:val="clear"/>
          </w:tcPr>
          <w:p>
            <w:r>
              <w:t xml:space="preserve">No</w:t>
            </w:r>
          </w:p>
        </w:tc>
      </w:tr>
    </w:tbl>
    <w:p/>
    <w:p>
      <w:pPr>
        <w:pStyle w:val="Heading1"/>
        <w:pBdr>
          <w:bottom w:val="single" w:color="1F6FB2" w:sz="6"/>
        </w:pBdr>
        <w:spacing w:after="120" w:before="240"/>
      </w:pPr>
      <w:r>
        <w:rPr>
          <w:b/>
          <w:bCs/>
          <w:color w:val="0F2E4C"/>
        </w:rPr>
        <w:t xml:space="preserve">— SHOWSTOPPER 4: Progressive Handover Not Reflected — Breach of Clause 3.3</w:t>
      </w:r>
    </w:p>
    <w:p>
      <w:pPr>
        <w:spacing w:after="120"/>
      </w:pPr>
      <w:r>
        <w:rPr>
          <w:b/>
          <w:bCs/>
        </w:rPr>
        <w:t xml:space="preserve">Clause 3.3 states:</w:t>
      </w:r>
    </w:p>
    <w:p>
      <w:pPr>
        <w:spacing w:after="120"/>
      </w:pPr>
      <w:r>
        <w:rPr>
          <w:b/>
          <w:bCs/>
        </w:rPr>
        <w:t xml:space="preserve">What Ilmatek submitted:</w:t>
      </w:r>
      <w:r>
        <w:t xml:space="preserve"> Milestone IL-1310 — "Plantroom access — all four data halls available" — is dated 10 July 2026, assuming a single date on which Ilmatek gains access to all four plantrooms simultaneously. The entire CHW pipework programme (IL-1400 spine → IL-1410 Hall 1 → IL-1420 Hall 2 → IL-1430 Hall 3 → IL-1440 Hall 4) chains from this single access date.</w:t>
      </w:r>
    </w:p>
    <w:p>
      <w:pPr>
        <w:spacing w:after="120"/>
      </w:pPr>
      <w:r>
        <w:rPr>
          <w:b/>
          <w:bCs/>
        </w:rPr>
        <w:t xml:space="preserve">Master baseline reality:</w:t>
      </w:r>
      <w:r>
        <w:t xml:space="preserve"> The master programme shows Data Halls 3 and 4 become available for M&amp;E fit-out months after Data Halls 1 and 2. The single-access assumption is contradicted by both the master baseline and the subcontract's own Clause 3.3, which expressly requires Ilmatek to acknowledge progressive handover.</w:t>
      </w:r>
    </w:p>
    <w:p>
      <w:pPr>
        <w:spacing w:after="120"/>
      </w:pPr>
      <w:r>
        <w:rPr>
          <w:b/>
          <w:bCs/>
        </w:rPr>
        <w:t xml:space="preserve">Impact:</w:t>
      </w:r>
      <w:r>
        <w:t xml:space="preserve"> Hall 3 and Hall 4 secondary pipework are scheduled to begin in October–November 2026 under the submission's logic, when the halls may not yet have a roof. The pipework sequence does not match the building programme.</w:t>
      </w:r>
    </w:p>
    <w:p>
      <w:pPr>
        <w:spacing w:after="120"/>
      </w:pPr>
      <w:r>
        <w:rPr>
          <w:b/>
          <w:bCs/>
        </w:rPr>
        <w:t xml:space="preserve">Required fix:</w:t>
      </w:r>
      <w:r>
        <w:t xml:space="preserve"> Replace the single "all halls available" milestone with four separate plantroom access dates reflecting progressive handover. Re-phase the pipework and equipment installation to match actual building availability per section.</w:t>
      </w:r>
    </w:p>
    <w:p>
      <w:pPr>
        <w:spacing w:after="120"/>
      </w:pPr>
      <w:r>
        <w:t xml:space="preserve">---</w:t>
      </w:r>
    </w:p>
    <w:p>
      <w:pPr>
        <w:pBdr>
          <w:left w:val="single" w:color="C8842A" w:sz="12" w:space="12"/>
        </w:pBdr>
        <w:ind w:left="360"/>
      </w:pPr>
      <w:r>
        <w:rPr>
          <w:i/>
          <w:iCs/>
          <w:color w:val="6B7280"/>
        </w:rPr>
        <w:t xml:space="preserve">"The Subcontractor shall plan and resource its works to the Sectional Dates, and acknowledges that the data halls are handed over progressively rather than simultaneously."</w:t>
      </w:r>
    </w:p>
    <w:p>
      <w:pPr>
        <w:pStyle w:val="Heading1"/>
        <w:pBdr>
          <w:bottom w:val="single" w:color="1F6FB2" w:sz="6"/>
        </w:pBdr>
        <w:spacing w:after="120" w:before="240"/>
      </w:pPr>
      <w:r>
        <w:rPr>
          <w:b/>
          <w:bCs/>
          <w:color w:val="0F2E4C"/>
        </w:rPr>
        <w:t xml:space="preserve">— SHOWSTOPPER 5: Waste-Heat Connection Outside Contractual Test Window — Breach of Clause 2.2</w:t>
      </w:r>
    </w:p>
    <w:p>
      <w:pPr>
        <w:spacing w:after="120"/>
      </w:pPr>
      <w:r>
        <w:rPr>
          <w:b/>
          <w:bCs/>
        </w:rPr>
        <w:t xml:space="preserve">Clause 2.2 states:</w:t>
      </w:r>
    </w:p>
    <w:p>
      <w:pPr>
        <w:spacing w:after="120"/>
      </w:pPr>
      <w:r>
        <w:rPr>
          <w:b/>
          <w:bCs/>
        </w:rPr>
        <w:t xml:space="preserve">What Ilmatek submitted:</w:t>
      </w:r>
      <w:r>
        <w:t xml:space="preserve"> Activity IL-1550 — "Waste-heat connection to boundary chamber" — is scheduled in July 2027. The subcontract requires the witnessed delivery test during October to April. A July connection cannot satisfy the test window. The district heating network is closed during the summer months, as also noted in PDC-CAL-001.</w:t>
      </w:r>
    </w:p>
    <w:p>
      <w:pPr>
        <w:spacing w:after="120"/>
      </w:pPr>
      <w:r>
        <w:rPr>
          <w:b/>
          <w:bCs/>
        </w:rPr>
        <w:t xml:space="preserve">Additional logic issue:</w:t>
      </w:r>
      <w:r>
        <w:t xml:space="preserve"> IL-1550 has no successor linking it to the completion milestone (IL-1740). Its finish date falls after the submission's own claimed completion date of 2 April 2027 — an internal inconsistency.</w:t>
      </w:r>
    </w:p>
    <w:p>
      <w:pPr>
        <w:spacing w:after="120"/>
      </w:pPr>
      <w:r>
        <w:rPr>
          <w:b/>
          <w:bCs/>
        </w:rPr>
        <w:t xml:space="preserve">Required fix:</w:t>
      </w:r>
      <w:r>
        <w:t xml:space="preserve"> Move the waste-heat connection into the October 2026 to April 2027 window. Link IL-1550 to the completion chain with a successor relationship.</w:t>
      </w:r>
    </w:p>
    <w:p>
      <w:pPr>
        <w:spacing w:after="120"/>
      </w:pPr>
      <w:r>
        <w:t xml:space="preserve">---</w:t>
      </w:r>
    </w:p>
    <w:p>
      <w:pPr>
        <w:pBdr>
          <w:left w:val="single" w:color="C8842A" w:sz="12" w:space="12"/>
        </w:pBdr>
        <w:ind w:left="360"/>
      </w:pPr>
      <w:r>
        <w:rPr>
          <w:i/>
          <w:iCs/>
          <w:color w:val="6B7280"/>
        </w:rPr>
        <w:t xml:space="preserve">"Waste-heat delivery ≥ 4 MW at ≥70°C, demonstrated by 72-hour witnessed delivery test during Oct–Apr heating season."</w:t>
      </w:r>
    </w:p>
    <w:p>
      <w:pPr>
        <w:pStyle w:val="Heading1"/>
        <w:pBdr>
          <w:bottom w:val="single" w:color="1F6FB2" w:sz="6"/>
        </w:pBdr>
        <w:spacing w:after="120" w:before="240"/>
      </w:pPr>
      <w:r>
        <w:rPr>
          <w:b/>
          <w:bCs/>
          <w:color w:val="0F2E4C"/>
        </w:rPr>
        <w:t xml:space="preserve">— SHOWSTOPPER 6: Dangling Activities — Incomplete Network</w:t>
      </w:r>
    </w:p>
    <w:p>
      <w:pPr>
        <w:spacing w:after="120"/>
      </w:pPr>
      <w:r>
        <w:rPr>
          <w:b/>
          <w:bCs/>
        </w:rPr>
        <w:t xml:space="preserve">Finding:</w:t>
      </w:r>
      <w:r>
        <w:t xml:space="preserve"> The Critical Path Method computation reveals significant network connectivity failures:</w:t>
      </w:r>
    </w:p>
    <w:p>
      <w:pPr>
        <w:spacing w:after="120"/>
      </w:pPr>
      <w:r>
        <w:rPr>
          <w:b/>
          <w:bCs/>
        </w:rPr>
        <w:t xml:space="preserve">Impact:</w:t>
      </w:r>
      <w:r>
        <w:t xml:space="preserve"> IL-1720 and IL-1730 cannot drive or delay the completion date. IL-1550 runs to July 2027 with no downstream dependency. IL-1520 and IL-1600 have no successors, meaning their finish dates are irrelevant to the computed completion. The critical path only captures 11 of 34 activities and does not represent the full scope of work. The programme cannot reliably predict completion.</w:t>
      </w:r>
    </w:p>
    <w:p>
      <w:pPr>
        <w:spacing w:after="120"/>
      </w:pPr>
      <w:r>
        <w:rPr>
          <w:b/>
          <w:bCs/>
        </w:rPr>
        <w:t xml:space="preserve">Required fix:</w:t>
      </w:r>
      <w:r>
        <w:t xml:space="preserve"> Tie off every dangling activity. All activities must feed into the completion chain to produce a reliable critical path.</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Issue</w:t>
            </w:r>
          </w:p>
        </w:tc>
        <w:tc>
          <w:tcPr>
            <w:shd w:fill="0F2E4C" w:val="clear"/>
          </w:tcPr>
          <w:p>
            <w:pPr>
              <w:jc w:val="left"/>
            </w:pPr>
            <w:r>
              <w:rPr>
                <w:b/>
                <w:bCs/>
                <w:color w:val="FFFFFF"/>
              </w:rPr>
              <w:t xml:space="preserve">Count</w:t>
            </w:r>
          </w:p>
        </w:tc>
        <w:tc>
          <w:tcPr>
            <w:shd w:fill="0F2E4C" w:val="clear"/>
          </w:tcPr>
          <w:p>
            <w:pPr>
              <w:jc w:val="left"/>
            </w:pPr>
            <w:r>
              <w:rPr>
                <w:b/>
                <w:bCs/>
                <w:color w:val="FFFFFF"/>
              </w:rPr>
              <w:t xml:space="preserve">Affected Activity IDs</w:t>
            </w:r>
          </w:p>
        </w:tc>
      </w:tr>
      <w:tr>
        <w:trPr>
          <w:tblHeader w:val="false"/>
        </w:trPr>
        <w:tc>
          <w:p>
            <w:r>
              <w:t xml:space="preserve">No predecessor (beyond project start)</w:t>
            </w:r>
          </w:p>
        </w:tc>
        <w:tc>
          <w:p>
            <w:r>
              <w:t xml:space="preserve">2</w:t>
            </w:r>
          </w:p>
        </w:tc>
        <w:tc>
          <w:p>
            <w:r>
              <w:t xml:space="preserve">1720 (O&amp;M manuals), 1730 (Commissioning L5 witnessing)</w:t>
            </w:r>
          </w:p>
        </w:tc>
      </w:tr>
      <w:tr>
        <w:trPr>
          <w:tblHeader w:val="false"/>
        </w:trPr>
        <w:tc>
          <w:tcPr>
            <w:shd w:fill="F5F5F5" w:val="clear"/>
          </w:tcPr>
          <w:p>
            <w:r>
              <w:t xml:space="preserve">No successor (hanging from completion)</w:t>
            </w:r>
          </w:p>
        </w:tc>
        <w:tc>
          <w:tcPr>
            <w:shd w:fill="F5F5F5" w:val="clear"/>
          </w:tcPr>
          <w:p>
            <w:r>
              <w:t xml:space="preserve">8</w:t>
            </w:r>
          </w:p>
        </w:tc>
        <w:tc>
          <w:tcPr>
            <w:shd w:fill="F5F5F5" w:val="clear"/>
          </w:tcPr>
          <w:p>
            <w:r>
              <w:t xml:space="preserve">1110 (Design — heat recovery), 1440 (CHW pipework Hall 4), 1520 (Dry cooler installation), 1550 (Waste-heat connection), 1600 (Ventilation &amp; smoke extract), 1610 (Water treatment), 1720, 1730</w:t>
            </w:r>
          </w:p>
        </w:tc>
      </w:tr>
    </w:tbl>
    <w:p/>
    <w:p>
      <w:pPr>
        <w:pStyle w:val="Heading1"/>
        <w:pBdr>
          <w:bottom w:val="single" w:color="1F6FB2" w:sz="6"/>
        </w:pBdr>
        <w:spacing w:after="120" w:before="240"/>
      </w:pPr>
      <w:r>
        <w:rPr>
          <w:b/>
          <w:bCs/>
          <w:color w:val="0F2E4C"/>
        </w:rPr>
        <w:t xml:space="preserve">3. Planner's Duration Review</w:t>
      </w:r>
    </w:p>
    <w:p>
      <w:pPr>
        <w:spacing w:after="120"/>
      </w:pPr>
      <w:r>
        <w:rPr>
          <w:i/>
          <w:iCs/>
        </w:rPr>
        <w:t xml:space="preserve">The findings below are the reviewer's professional judgement, based on the BoQ quantities in Section F and the project productivity workbook. They are not contractual breaches. They are offered to assist Ilmatek in preparing a realistic resubmission.</w:t>
      </w:r>
    </w:p>
    <w:p>
      <w:pPr>
        <w:spacing w:after="120"/>
      </w:pPr>
      <w:r>
        <w:t xml:space="preserve">---</w:t>
      </w:r>
    </w:p>
    <w:p>
      <w:pPr>
        <w:pStyle w:val="Heading1"/>
        <w:pBdr>
          <w:bottom w:val="single" w:color="1F6FB2" w:sz="6"/>
        </w:pBdr>
        <w:spacing w:after="120" w:before="240"/>
      </w:pPr>
      <w:r>
        <w:rPr>
          <w:b/>
          <w:bCs/>
          <w:color w:val="0F2E4C"/>
        </w:rPr>
        <w:t xml:space="preserve">— 3.1 CHW Primary Spine — IL-1400 (84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Parameter</w:t>
            </w:r>
          </w:p>
        </w:tc>
        <w:tc>
          <w:tcPr>
            <w:shd w:fill="0F2E4C" w:val="clear"/>
          </w:tcPr>
          <w:p>
            <w:pPr>
              <w:jc w:val="left"/>
            </w:pPr>
            <w:r>
              <w:rPr>
                <w:b/>
                <w:bCs/>
                <w:color w:val="FFFFFF"/>
              </w:rPr>
              <w:t xml:space="preserve">Detail</w:t>
            </w:r>
          </w:p>
        </w:tc>
      </w:tr>
      <w:tr>
        <w:trPr>
          <w:tblHeader w:val="false"/>
        </w:trPr>
        <w:tc>
          <w:p>
            <w:r>
              <w:t xml:space="preserve">BoQ quantity (F.06)</w:t>
            </w:r>
          </w:p>
        </w:tc>
        <w:tc>
          <w:p>
            <w:r>
              <w:t xml:space="preserve">2,850 linear metres of welded, pre-insulated chilled water pipework</w:t>
            </w:r>
          </w:p>
        </w:tc>
      </w:tr>
      <w:tr>
        <w:trPr>
          <w:tblHeader w:val="false"/>
        </w:trPr>
        <w:tc>
          <w:tcPr>
            <w:shd w:fill="F5F5F5" w:val="clear"/>
          </w:tcPr>
          <w:p>
            <w:r>
              <w:t xml:space="preserve">Productivity workbook benchmark</w:t>
            </w:r>
          </w:p>
        </w:tc>
        <w:tc>
          <w:tcPr>
            <w:shd w:fill="F5F5F5" w:val="clear"/>
          </w:tcPr>
          <w:p>
            <w:r>
              <w:t xml:space="preserve">44 working days for 1,200m cooling spine</w:t>
            </w:r>
          </w:p>
        </w:tc>
      </w:tr>
      <w:tr>
        <w:trPr>
          <w:tblHeader w:val="false"/>
        </w:trPr>
        <w:tc>
          <w:p>
            <w:r>
              <w:t xml:space="preserve">Pro-rata at benchmark rate</w:t>
            </w:r>
          </w:p>
        </w:tc>
        <w:tc>
          <w:p>
            <w:r>
              <w:t xml:space="preserve">2,850m ÷ 1,200m × 44 days ≈ 104 working days</w:t>
            </w:r>
          </w:p>
        </w:tc>
      </w:tr>
      <w:tr>
        <w:trPr>
          <w:tblHeader w:val="false"/>
        </w:trPr>
        <w:tc>
          <w:tcPr>
            <w:shd w:fill="F5F5F5" w:val="clear"/>
          </w:tcPr>
          <w:p>
            <w:r>
              <w:t xml:space="preserve">Ilmatek's 84 days on a 7-day calendar</w:t>
            </w:r>
          </w:p>
        </w:tc>
        <w:tc>
          <w:tcPr>
            <w:shd w:fill="F5F5F5" w:val="clear"/>
          </w:tcPr>
          <w:p>
            <w:r>
              <w:t xml:space="preserve">Equivalent to approximately 60 real working days</w:t>
            </w:r>
          </w:p>
        </w:tc>
      </w:tr>
      <w:tr>
        <w:trPr>
          <w:tblHeader w:val="false"/>
        </w:trPr>
        <w:tc>
          <w:p>
            <w:r>
              <w:t xml:space="preserve">Planner's assessment</w:t>
            </w:r>
          </w:p>
        </w:tc>
        <w:tc>
          <w:p>
            <w:r>
              <w:rPr>
                <w:b/>
                <w:bCs/>
              </w:rPr>
              <w:t xml:space="preserve">Likely under-provisioned by 40–44 working days.</w:t>
            </w:r>
            <w:r>
              <w:t xml:space="preserve"> Large-bore DN300–500 welded steel with expansion loops, NDT, and valved branches.</w:t>
            </w:r>
          </w:p>
        </w:tc>
      </w:tr>
    </w:tbl>
    <w:p/>
    <w:p>
      <w:pPr>
        <w:pStyle w:val="Heading1"/>
        <w:pBdr>
          <w:bottom w:val="single" w:color="1F6FB2" w:sz="6"/>
        </w:pBdr>
        <w:spacing w:after="120" w:before="240"/>
      </w:pPr>
      <w:r>
        <w:rPr>
          <w:b/>
          <w:bCs/>
          <w:color w:val="0F2E4C"/>
        </w:rPr>
        <w:t xml:space="preserve">— 3.2 CRAH Installation — IL-1530 (56 days for 28 units)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Parameter</w:t>
            </w:r>
          </w:p>
        </w:tc>
        <w:tc>
          <w:tcPr>
            <w:shd w:fill="0F2E4C" w:val="clear"/>
          </w:tcPr>
          <w:p>
            <w:pPr>
              <w:jc w:val="left"/>
            </w:pPr>
            <w:r>
              <w:rPr>
                <w:b/>
                <w:bCs/>
                <w:color w:val="FFFFFF"/>
              </w:rPr>
              <w:t xml:space="preserve">Detail</w:t>
            </w:r>
          </w:p>
        </w:tc>
      </w:tr>
      <w:tr>
        <w:trPr>
          <w:tblHeader w:val="false"/>
        </w:trPr>
        <w:tc>
          <w:p>
            <w:r>
              <w:t xml:space="preserve">BoQ quantity (F.03)</w:t>
            </w:r>
          </w:p>
        </w:tc>
        <w:tc>
          <w:p>
            <w:r>
              <w:t xml:space="preserve">28 CRAH units, 7 per hall, N+1 configuration</w:t>
            </w:r>
          </w:p>
        </w:tc>
      </w:tr>
      <w:tr>
        <w:trPr>
          <w:tblHeader w:val="false"/>
        </w:trPr>
        <w:tc>
          <w:tcPr>
            <w:shd w:fill="F5F5F5" w:val="clear"/>
          </w:tcPr>
          <w:p>
            <w:r>
              <w:t xml:space="preserve">Productivity workbook</w:t>
            </w:r>
          </w:p>
        </w:tc>
        <w:tc>
          <w:tcPr>
            <w:shd w:fill="F5F5F5" w:val="clear"/>
          </w:tcPr>
          <w:p>
            <w:r>
              <w:t xml:space="preserve">Per-hall phasing; 200–400kW data-centre units require rigging, pipework connections, electrical, condensate, and controls terminations</w:t>
            </w:r>
          </w:p>
        </w:tc>
      </w:tr>
      <w:tr>
        <w:trPr>
          <w:tblHeader w:val="false"/>
        </w:trPr>
        <w:tc>
          <w:p>
            <w:r>
              <w:t xml:space="preserve">Realistic rate</w:t>
            </w:r>
          </w:p>
        </w:tc>
        <w:tc>
          <w:p>
            <w:r>
              <w:t xml:space="preserve">5–7 working days per unit with 2–3 installation gangs working across 4 halls</w:t>
            </w:r>
          </w:p>
        </w:tc>
      </w:tr>
      <w:tr>
        <w:trPr>
          <w:tblHeader w:val="false"/>
        </w:trPr>
        <w:tc>
          <w:tcPr>
            <w:shd w:fill="F5F5F5" w:val="clear"/>
          </w:tcPr>
          <w:p>
            <w:r>
              <w:t xml:space="preserve">Planner's assessment</w:t>
            </w:r>
          </w:p>
        </w:tc>
        <w:tc>
          <w:tcPr>
            <w:shd w:fill="F5F5F5" w:val="clear"/>
          </w:tcPr>
          <w:p>
            <w:r>
              <w:rPr>
                <w:b/>
                <w:bCs/>
              </w:rPr>
              <w:t xml:space="preserve">Likely under-provisioned by 10–15 working days.</w:t>
            </w:r>
            <w:r>
              <w:t xml:space="preserve"> 56 days assumes 4 simultaneous gangs at 2 days per unit — not credible at this scale. Additionally, a single CRAH activity spanning all four halls cannot demonstrate phased sectional completions (see Showstopper 2).</w:t>
            </w:r>
          </w:p>
        </w:tc>
      </w:tr>
    </w:tbl>
    <w:p/>
    <w:p>
      <w:pPr>
        <w:pStyle w:val="Heading1"/>
        <w:pBdr>
          <w:bottom w:val="single" w:color="1F6FB2" w:sz="6"/>
        </w:pBdr>
        <w:spacing w:after="120" w:before="240"/>
      </w:pPr>
      <w:r>
        <w:rPr>
          <w:b/>
          <w:bCs/>
          <w:color w:val="0F2E4C"/>
        </w:rPr>
        <w:t xml:space="preserve">— 3.3 Dry Cooler Installation — IL-1520 (42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Parameter</w:t>
            </w:r>
          </w:p>
        </w:tc>
        <w:tc>
          <w:tcPr>
            <w:shd w:fill="0F2E4C" w:val="clear"/>
          </w:tcPr>
          <w:p>
            <w:pPr>
              <w:jc w:val="left"/>
            </w:pPr>
            <w:r>
              <w:rPr>
                <w:b/>
                <w:bCs/>
                <w:color w:val="FFFFFF"/>
              </w:rPr>
              <w:t xml:space="preserve">Detail</w:t>
            </w:r>
          </w:p>
        </w:tc>
      </w:tr>
      <w:tr>
        <w:trPr>
          <w:tblHeader w:val="false"/>
        </w:trPr>
        <w:tc>
          <w:p>
            <w:r>
              <w:t xml:space="preserve">BoQ quantity (F.02)</w:t>
            </w:r>
          </w:p>
        </w:tc>
        <w:tc>
          <w:p>
            <w:r>
              <w:t xml:space="preserve">10 dry coolers / adiabatic units, roof-mounted</w:t>
            </w:r>
          </w:p>
        </w:tc>
      </w:tr>
      <w:tr>
        <w:trPr>
          <w:tblHeader w:val="false"/>
        </w:trPr>
        <w:tc>
          <w:tcPr>
            <w:shd w:fill="F5F5F5" w:val="clear"/>
          </w:tcPr>
          <w:p>
            <w:r>
              <w:t xml:space="preserve">Scheduled period</w:t>
            </w:r>
          </w:p>
        </w:tc>
        <w:tc>
          <w:tcPr>
            <w:shd w:fill="F5F5F5" w:val="clear"/>
          </w:tcPr>
          <w:p>
            <w:r>
              <w:t xml:space="preserve">January–February, Vantaa, Finland</w:t>
            </w:r>
          </w:p>
        </w:tc>
      </w:tr>
      <w:tr>
        <w:trPr>
          <w:tblHeader w:val="false"/>
        </w:trPr>
        <w:tc>
          <w:p>
            <w:r>
              <w:t xml:space="preserve">Winter conditions</w:t>
            </w:r>
          </w:p>
        </w:tc>
        <w:tc>
          <w:p>
            <w:r>
              <w:t xml:space="preserve">Daylight approximately 6 hours; temperatures −5 to −15°C; roof ice, snow, wind constraints on crane lifts</w:t>
            </w:r>
          </w:p>
        </w:tc>
      </w:tr>
      <w:tr>
        <w:trPr>
          <w:tblHeader w:val="false"/>
        </w:trPr>
        <w:tc>
          <w:tcPr>
            <w:shd w:fill="F5F5F5" w:val="clear"/>
          </w:tcPr>
          <w:p>
            <w:r>
              <w:t xml:space="preserve">PDC-CAL-001</w:t>
            </w:r>
          </w:p>
        </w:tc>
        <w:tc>
          <w:tcPr>
            <w:shd w:fill="F5F5F5" w:val="clear"/>
          </w:tcPr>
          <w:p>
            <w:r>
              <w:t xml:space="preserve">Requires winter productivity allowances for external work</w:t>
            </w:r>
          </w:p>
        </w:tc>
      </w:tr>
      <w:tr>
        <w:trPr>
          <w:tblHeader w:val="false"/>
        </w:trPr>
        <w:tc>
          <w:p>
            <w:r>
              <w:t xml:space="preserve">Planner's assessment</w:t>
            </w:r>
          </w:p>
        </w:tc>
        <w:tc>
          <w:p>
            <w:r>
              <w:rPr>
                <w:b/>
                <w:bCs/>
              </w:rPr>
              <w:t xml:space="preserve">Likely under-provisioned by 13–28 working days.</w:t>
            </w:r>
            <w:r>
              <w:t xml:space="preserve"> A 42-day activity in Finnish mid-winter at height yields approximately 20–25 effective working days. Ten large adiabatic units realistically require 55–70 calendar days with winter allowances.</w:t>
            </w:r>
          </w:p>
        </w:tc>
      </w:tr>
    </w:tbl>
    <w:p/>
    <w:p>
      <w:pPr>
        <w:pStyle w:val="Heading1"/>
        <w:pBdr>
          <w:bottom w:val="single" w:color="1F6FB2" w:sz="6"/>
        </w:pBdr>
        <w:spacing w:after="120" w:before="240"/>
      </w:pPr>
      <w:r>
        <w:rPr>
          <w:b/>
          <w:bCs/>
          <w:color w:val="0F2E4C"/>
        </w:rPr>
        <w:t xml:space="preserve">— 3.4 Static Completion &amp; Pressure Testing — IL-1700 (14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Parameter</w:t>
            </w:r>
          </w:p>
        </w:tc>
        <w:tc>
          <w:tcPr>
            <w:shd w:fill="0F2E4C" w:val="clear"/>
          </w:tcPr>
          <w:p>
            <w:pPr>
              <w:jc w:val="left"/>
            </w:pPr>
            <w:r>
              <w:rPr>
                <w:b/>
                <w:bCs/>
                <w:color w:val="FFFFFF"/>
              </w:rPr>
              <w:t xml:space="preserve">Detail</w:t>
            </w:r>
          </w:p>
        </w:tc>
      </w:tr>
      <w:tr>
        <w:trPr>
          <w:tblHeader w:val="false"/>
        </w:trPr>
        <w:tc>
          <w:p>
            <w:r>
              <w:t xml:space="preserve">Scope</w:t>
            </w:r>
          </w:p>
        </w:tc>
        <w:tc>
          <w:p>
            <w:r>
              <w:t xml:space="preserve">All CHW pipework across 4 halls (F.06), all valves and instrumentation (F.07), thermal insulation (F.12)</w:t>
            </w:r>
          </w:p>
        </w:tc>
      </w:tr>
      <w:tr>
        <w:trPr>
          <w:tblHeader w:val="false"/>
        </w:trPr>
        <w:tc>
          <w:tcPr>
            <w:shd w:fill="F5F5F5" w:val="clear"/>
          </w:tcPr>
          <w:p>
            <w:r>
              <w:t xml:space="preserve">Test sections</w:t>
            </w:r>
          </w:p>
        </w:tc>
        <w:tc>
          <w:tcPr>
            <w:shd w:fill="F5F5F5" w:val="clear"/>
          </w:tcPr>
          <w:p>
            <w:r>
              <w:t xml:space="preserve">Approximately 12–16 isolated sections across four data halls plus an integrated spine test</w:t>
            </w:r>
          </w:p>
        </w:tc>
      </w:tr>
      <w:tr>
        <w:trPr>
          <w:tblHeader w:val="false"/>
        </w:trPr>
        <w:tc>
          <w:p>
            <w:r>
              <w:t xml:space="preserve">Test duration</w:t>
            </w:r>
          </w:p>
        </w:tc>
        <w:tc>
          <w:p>
            <w:r>
              <w:t xml:space="preserve">Minimum 2 working days per section (fill, pressurise to 1.5× working pressure, hold, inspect, drain)</w:t>
            </w:r>
          </w:p>
        </w:tc>
      </w:tr>
      <w:tr>
        <w:trPr>
          <w:tblHeader w:val="false"/>
        </w:trPr>
        <w:tc>
          <w:tcPr>
            <w:shd w:fill="F5F5F5" w:val="clear"/>
          </w:tcPr>
          <w:p>
            <w:r>
              <w:t xml:space="preserve">Planner's assessment</w:t>
            </w:r>
          </w:p>
        </w:tc>
        <w:tc>
          <w:tcPr>
            <w:shd w:fill="F5F5F5" w:val="clear"/>
          </w:tcPr>
          <w:p>
            <w:r>
              <w:rPr>
                <w:b/>
                <w:bCs/>
              </w:rPr>
              <w:t xml:space="preserve">Likely under-provisioned by 14–21 working days.</w:t>
            </w:r>
            <w:r>
              <w:t xml:space="preserve"> Realistic minimum is 28–35 working days. Glycol circuits at lower temperature rating add further testing requirements not currently programmed.</w:t>
            </w:r>
          </w:p>
        </w:tc>
      </w:tr>
    </w:tbl>
    <w:p/>
    <w:p>
      <w:pPr>
        <w:pStyle w:val="Heading1"/>
        <w:pBdr>
          <w:bottom w:val="single" w:color="1F6FB2" w:sz="6"/>
        </w:pBdr>
        <w:spacing w:after="120" w:before="240"/>
      </w:pPr>
      <w:r>
        <w:rPr>
          <w:b/>
          <w:bCs/>
          <w:color w:val="0F2E4C"/>
        </w:rPr>
        <w:t xml:space="preserve">— 3.5 Commissioning L4 and L5 — IL-1710 (10 days)</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Parameter</w:t>
            </w:r>
          </w:p>
        </w:tc>
        <w:tc>
          <w:tcPr>
            <w:shd w:fill="0F2E4C" w:val="clear"/>
          </w:tcPr>
          <w:p>
            <w:pPr>
              <w:jc w:val="left"/>
            </w:pPr>
            <w:r>
              <w:rPr>
                <w:b/>
                <w:bCs/>
                <w:color w:val="FFFFFF"/>
              </w:rPr>
              <w:t xml:space="preserve">Detail</w:t>
            </w:r>
          </w:p>
        </w:tc>
      </w:tr>
      <w:tr>
        <w:trPr>
          <w:tblHeader w:val="false"/>
        </w:trPr>
        <w:tc>
          <w:p>
            <w:r>
              <w:t xml:space="preserve">Contractual scope (TP-005.08)</w:t>
            </w:r>
          </w:p>
        </w:tc>
        <w:tc>
          <w:p>
            <w:r>
              <w:t xml:space="preserve">Mechanical commissioning support to L4 and L5 across 4 data halls</w:t>
            </w:r>
          </w:p>
        </w:tc>
      </w:tr>
      <w:tr>
        <w:trPr>
          <w:tblHeader w:val="false"/>
        </w:trPr>
        <w:tc>
          <w:tcPr>
            <w:shd w:fill="F5F5F5" w:val="clear"/>
          </w:tcPr>
          <w:p>
            <w:r>
              <w:t xml:space="preserve">Productivity workbook</w:t>
            </w:r>
          </w:p>
        </w:tc>
        <w:tc>
          <w:tcPr>
            <w:shd w:fill="F5F5F5" w:val="clear"/>
          </w:tcPr>
          <w:p>
            <w:r>
              <w:t xml:space="preserve">15 working days for HVAC commissioning per hall</w:t>
            </w:r>
          </w:p>
        </w:tc>
      </w:tr>
      <w:tr>
        <w:trPr>
          <w:tblHeader w:val="false"/>
        </w:trPr>
        <w:tc>
          <w:p>
            <w:r>
              <w:t xml:space="preserve">Scope</w:t>
            </w:r>
          </w:p>
        </w:tc>
        <w:tc>
          <w:p>
            <w:r>
              <w:t xml:space="preserve">Pump proving (primary + secondary + glycol), flow balancing across 28 CRAH units, chiller sequencing, free-cooling changeover verification, glycol concentration, control-valve stroking, and witnessed L5 integrated system testing</w:t>
            </w:r>
          </w:p>
        </w:tc>
      </w:tr>
      <w:tr>
        <w:trPr>
          <w:tblHeader w:val="false"/>
        </w:trPr>
        <w:tc>
          <w:tcPr>
            <w:shd w:fill="F5F5F5" w:val="clear"/>
          </w:tcPr>
          <w:p>
            <w:r>
              <w:t xml:space="preserve">Planner's assessment</w:t>
            </w:r>
          </w:p>
        </w:tc>
        <w:tc>
          <w:tcPr>
            <w:shd w:fill="F5F5F5" w:val="clear"/>
          </w:tcPr>
          <w:p>
            <w:r>
              <w:rPr>
                <w:b/>
                <w:bCs/>
              </w:rPr>
              <w:t xml:space="preserve">Likely under-provisioned by 15–25 working days.</w:t>
            </w:r>
            <w:r>
              <w:t xml:space="preserve"> Even with dedicated commissioning teams running in parallel, 10 days across four halls for both L4 and L5 is not credible.</w:t>
            </w:r>
          </w:p>
        </w:tc>
      </w:tr>
    </w:tbl>
    <w:p/>
    <w:p>
      <w:pPr>
        <w:pStyle w:val="Heading1"/>
        <w:pBdr>
          <w:bottom w:val="single" w:color="1F6FB2" w:sz="6"/>
        </w:pBdr>
        <w:spacing w:after="120" w:before="240"/>
      </w:pPr>
      <w:r>
        <w:rPr>
          <w:b/>
          <w:bCs/>
          <w:color w:val="0F2E4C"/>
        </w:rPr>
        <w:t xml:space="preserve">4. Missing Sub-Steps</w:t>
      </w:r>
    </w:p>
    <w:p>
      <w:pPr>
        <w:spacing w:after="120"/>
      </w:pPr>
      <w:r>
        <w:rPr>
          <w:i/>
          <w:iCs/>
        </w:rPr>
        <w:t xml:space="preserve">The items below are gaps in the activity logic or sequence. They are schedule construction observations, not contractual requirements. They are offered to assist Ilmatek in preparing a complete resubmission.</w:t>
      </w:r>
    </w:p>
    <w:p>
      <w:pPr>
        <w:pStyle w:val="Heading1"/>
        <w:pBdr>
          <w:bottom w:val="single" w:color="1F6FB2" w:sz="6"/>
        </w:pBdr>
        <w:spacing w:after="120" w:before="240"/>
      </w:pPr>
      <w:r>
        <w:rPr>
          <w:b/>
          <w:bCs/>
          <w:color w:val="0F2E4C"/>
        </w:rPr>
        <w:t xml:space="preserve">— 4.1 No Glycol Flushing Between Static Completion and Water Treatment</w:t>
      </w:r>
    </w:p>
    <w:p>
      <w:pPr>
        <w:spacing w:after="120"/>
      </w:pPr>
      <w:r>
        <w:t xml:space="preserve">BoQ item F.11 covers "Water treatment and adiabatic make-up (WUE ≤ 0.25 L/kWh)." A chilled water system running at 30% glycol concentration must be flushed before chemical treatment can begin. Flushing for a system of this scale (2,850m CHW pipework plus 28 CRAH coils plus chillers and buffer vessels) requires 10–15 working days. It sits between static completion (IL-1700) and water treatment (IL-1610) — neither of which accounts for it. Without flushing, IL-1610 would be dosing chemicals into a system containing construction debris.</w:t>
      </w:r>
    </w:p>
    <w:p>
      <w:pPr>
        <w:pStyle w:val="Heading1"/>
        <w:pBdr>
          <w:bottom w:val="single" w:color="1F6FB2" w:sz="6"/>
        </w:pBdr>
        <w:spacing w:after="120" w:before="240"/>
      </w:pPr>
      <w:r>
        <w:rPr>
          <w:b/>
          <w:bCs/>
          <w:color w:val="0F2E4C"/>
        </w:rPr>
        <w:t xml:space="preserve">— 4.2 Summer Shutdown Not Reflected</w:t>
      </w:r>
    </w:p>
    <w:p>
      <w:pPr>
        <w:spacing w:after="120"/>
      </w:pPr>
      <w:r>
        <w:t xml:space="preserve">PDC-CAL-001 (required by Clause 3.2) has a three-week reduced-resource shutdown during Weeks 28, 29, and 30 (July). The entire CHW pipework programme (IL-1400 spine through IL-1440 Hall 4 secondary) runs continuously through this period on the submission's 7-day calendar. On the correct 5-day calendar with the summer shutdown applied, the pipework programme pauses for three weeks in July. This is three weeks of programme slip that the submission has not accounted for.</w:t>
      </w:r>
    </w:p>
    <w:p>
      <w:pPr>
        <w:pStyle w:val="Heading1"/>
        <w:pBdr>
          <w:bottom w:val="single" w:color="1F6FB2" w:sz="6"/>
        </w:pBdr>
        <w:spacing w:after="120" w:before="240"/>
      </w:pPr>
      <w:r>
        <w:rPr>
          <w:b/>
          <w:bCs/>
          <w:color w:val="0F2E4C"/>
        </w:rPr>
        <w:t xml:space="preserve">— 4.3 CRAH Installation Not Phased Per Section</w:t>
      </w:r>
    </w:p>
    <w:p>
      <w:pPr>
        <w:spacing w:after="120"/>
      </w:pPr>
      <w:r>
        <w:t xml:space="preserve">Clause 3.3 requires progressive handover. The secondary CHW pipework (IL-1410 to IL-1440) is phased per hall, which is correct — but CRAH installation (IL-1530) lumps all 28 units into a single 56-day activity spanning all four halls. You cannot demonstrate that Section 1 CRAH units are complete while CRAH installation is recorded as a single undifferentiated block of work. The CRAH installation must be split per section to align with the pipework phasing and to demonstrate the four sectional completion dates.</w:t>
      </w:r>
    </w:p>
    <w:p>
      <w:pPr>
        <w:spacing w:after="120"/>
      </w:pPr>
      <w:r>
        <w:t xml:space="preserve">---</w:t>
      </w:r>
    </w:p>
    <w:p>
      <w:pPr>
        <w:pStyle w:val="Heading1"/>
        <w:pBdr>
          <w:bottom w:val="single" w:color="1F6FB2" w:sz="6"/>
        </w:pBdr>
        <w:spacing w:after="120" w:before="240"/>
      </w:pPr>
      <w:r>
        <w:rPr>
          <w:b/>
          <w:bCs/>
          <w:color w:val="0F2E4C"/>
        </w:rPr>
        <w:t xml:space="preserve">5. Structural Quality Assessment</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Assessment</w:t>
            </w:r>
          </w:p>
        </w:tc>
        <w:tc>
          <w:tcPr>
            <w:shd w:fill="0F2E4C" w:val="clear"/>
          </w:tcPr>
          <w:p>
            <w:pPr>
              <w:jc w:val="left"/>
            </w:pPr>
            <w:r>
              <w:rPr>
                <w:b/>
                <w:bCs/>
                <w:color w:val="FFFFFF"/>
              </w:rPr>
              <w:t xml:space="preserve">Score</w:t>
            </w:r>
          </w:p>
        </w:tc>
        <w:tc>
          <w:tcPr>
            <w:shd w:fill="0F2E4C" w:val="clear"/>
          </w:tcPr>
          <w:p>
            <w:pPr>
              <w:jc w:val="left"/>
            </w:pPr>
            <w:r>
              <w:rPr>
                <w:b/>
                <w:bCs/>
                <w:color w:val="FFFFFF"/>
              </w:rPr>
              <w:t xml:space="preserve">Status</w:t>
            </w:r>
          </w:p>
        </w:tc>
      </w:tr>
      <w:tr>
        <w:trPr>
          <w:tblHeader w:val="false"/>
        </w:trPr>
        <w:tc>
          <w:p>
            <w:r>
              <w:t xml:space="preserve">DCMA 14-Point</w:t>
            </w:r>
          </w:p>
        </w:tc>
        <w:tc>
          <w:p>
            <w:r>
              <w:t xml:space="preserve">41.67 / 100</w:t>
            </w:r>
          </w:p>
        </w:tc>
        <w:tc>
          <w:p>
            <w:r>
              <w:t xml:space="preserve">FAIL</w:t>
            </w:r>
          </w:p>
        </w:tc>
      </w:tr>
      <w:tr>
        <w:trPr>
          <w:tblHeader w:val="false"/>
        </w:trPr>
        <w:tc>
          <w:tcPr>
            <w:shd w:fill="F5F5F5" w:val="clear"/>
          </w:tcPr>
          <w:p>
            <w:r>
              <w:t xml:space="preserve">Schedule Lint</w:t>
            </w:r>
          </w:p>
        </w:tc>
        <w:tc>
          <w:tcPr>
            <w:shd w:fill="F5F5F5" w:val="clear"/>
          </w:tcPr>
          <w:p>
            <w:r>
              <w:t xml:space="preserve">71 / 100 (Grade C)</w:t>
            </w:r>
          </w:p>
        </w:tc>
        <w:tc>
          <w:tcPr>
            <w:shd w:fill="F5F5F5" w:val="clear"/>
          </w:tcPr>
          <w:p>
            <w:r>
              <w:t xml:space="preserve">FAIL</w:t>
            </w:r>
          </w:p>
        </w:tc>
      </w:tr>
      <w:tr>
        <w:trPr>
          <w:tblHeader w:val="false"/>
        </w:trPr>
        <w:tc>
          <w:p>
            <w:r>
              <w:t xml:space="preserve">Bellator Health Score</w:t>
            </w:r>
          </w:p>
        </w:tc>
        <w:tc>
          <w:p>
            <w:r>
              <w:t xml:space="preserve">81.4 (Grade B)</w:t>
            </w:r>
          </w:p>
        </w:tc>
        <w:tc>
          <w:p>
            <w:r>
              <w:t xml:space="preserve">—</w:t>
            </w:r>
          </w:p>
        </w:tc>
      </w:tr>
      <w:tr>
        <w:trPr>
          <w:tblHeader w:val="false"/>
        </w:trPr>
        <w:tc>
          <w:tcPr>
            <w:shd w:fill="F5F5F5" w:val="clear"/>
          </w:tcPr>
          <w:p>
            <w:r>
              <w:t xml:space="preserve">Bellator Logic Audit</w:t>
            </w:r>
          </w:p>
        </w:tc>
        <w:tc>
          <w:tcPr>
            <w:shd w:fill="F5F5F5" w:val="clear"/>
          </w:tcPr>
          <w:p>
            <w:r>
              <w:t xml:space="preserve">70 (Grade C)</w:t>
            </w:r>
          </w:p>
        </w:tc>
        <w:tc>
          <w:tcPr>
            <w:shd w:fill="F5F5F5" w:val="clear"/>
          </w:tcPr>
          <w:p>
            <w:r>
              <w:t xml:space="preserve">3 high-severity findings</w:t>
            </w:r>
          </w:p>
        </w:tc>
      </w:tr>
      <w:tr>
        <w:trPr>
          <w:tblHeader w:val="false"/>
        </w:trPr>
        <w:tc>
          <w:p>
            <w:r>
              <w:t xml:space="preserve">Independent reviewer</w:t>
            </w:r>
          </w:p>
        </w:tc>
        <w:tc>
          <w:p>
            <w:r>
              <w:t xml:space="preserve">REVISE</w:t>
            </w:r>
          </w:p>
        </w:tc>
        <w:tc>
          <w:p>
            <w:r>
              <w:t xml:space="preserve">22 findings, 14 high severity</w:t>
            </w:r>
          </w:p>
        </w:tc>
      </w:tr>
      <w:tr>
        <w:trPr>
          <w:tblHeader w:val="false"/>
        </w:trPr>
        <w:tc>
          <w:tcPr>
            <w:shd w:fill="F5F5F5" w:val="clear"/>
          </w:tcPr>
          <w:p>
            <w:r>
              <w:t xml:space="preserve">CPM Cycle Check</w:t>
            </w:r>
          </w:p>
        </w:tc>
        <w:tc>
          <w:tcPr>
            <w:shd w:fill="F5F5F5" w:val="clear"/>
          </w:tcPr>
          <w:p>
            <w:r>
              <w:t xml:space="preserve">No cycles detected</w:t>
            </w:r>
          </w:p>
        </w:tc>
        <w:tc>
          <w:tcPr>
            <w:shd w:fill="F5F5F5" w:val="clear"/>
          </w:tcPr>
          <w:p>
            <w:r>
              <w:t xml:space="preserve">PASS</w:t>
            </w:r>
          </w:p>
        </w:tc>
      </w:tr>
    </w:tbl>
    <w:p/>
    <w:p>
      <w:pPr>
        <w:pStyle w:val="Heading1"/>
        <w:pBdr>
          <w:bottom w:val="single" w:color="1F6FB2" w:sz="6"/>
        </w:pBdr>
        <w:spacing w:after="120" w:before="240"/>
      </w:pPr>
      <w:r>
        <w:rPr>
          <w:b/>
          <w:bCs/>
          <w:color w:val="0F2E4C"/>
        </w:rPr>
        <w:t xml:space="preserve">6. Checklist Compliance Summary</w:t>
      </w:r>
    </w:p>
    <w:p>
      <w:pPr>
        <w:pStyle w:val="Heading1"/>
        <w:pBdr>
          <w:bottom w:val="single" w:color="1F6FB2" w:sz="6"/>
        </w:pBdr>
        <w:spacing w:after="120" w:before="240"/>
      </w:pPr>
      <w:r>
        <w:rPr>
          <w:b/>
          <w:bCs/>
          <w:color w:val="0F2E4C"/>
        </w:rPr>
        <w:t xml:space="preserve">— Tier 1 — General (all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ID</w:t>
            </w:r>
          </w:p>
        </w:tc>
        <w:tc>
          <w:tcPr>
            <w:shd w:fill="0F2E4C" w:val="clear"/>
          </w:tcPr>
          <w:p>
            <w:pPr>
              <w:jc w:val="left"/>
            </w:pPr>
            <w:r>
              <w:rPr>
                <w:b/>
                <w:bCs/>
                <w:color w:val="FFFFFF"/>
              </w:rPr>
              <w:t xml:space="preserve">Check</w:t>
            </w:r>
          </w:p>
        </w:tc>
        <w:tc>
          <w:tcPr>
            <w:shd w:fill="0F2E4C" w:val="clear"/>
          </w:tcPr>
          <w:p>
            <w:pPr>
              <w:jc w:val="left"/>
            </w:pPr>
            <w:r>
              <w:rPr>
                <w:b/>
                <w:bCs/>
                <w:color w:val="FFFFFF"/>
              </w:rPr>
              <w:t xml:space="preserve">Status</w:t>
            </w:r>
          </w:p>
        </w:tc>
      </w:tr>
      <w:tr>
        <w:trPr>
          <w:tblHeader w:val="false"/>
        </w:trPr>
        <w:tc>
          <w:p>
            <w:r>
              <w:t xml:space="preserve">G1</w:t>
            </w:r>
          </w:p>
        </w:tc>
        <w:tc>
          <w:p>
            <w:r>
              <w:t xml:space="preserve">All source documents identified</w:t>
            </w:r>
          </w:p>
        </w:tc>
        <w:tc>
          <w:p>
            <w:r>
              <w:t xml:space="preserve">PASS</w:t>
            </w:r>
          </w:p>
        </w:tc>
      </w:tr>
      <w:tr>
        <w:trPr>
          <w:tblHeader w:val="false"/>
        </w:trPr>
        <w:tc>
          <w:tcPr>
            <w:shd w:fill="F5F5F5" w:val="clear"/>
          </w:tcPr>
          <w:p>
            <w:r>
              <w:t xml:space="preserve">G2</w:t>
            </w:r>
          </w:p>
        </w:tc>
        <w:tc>
          <w:tcPr>
            <w:shd w:fill="F5F5F5" w:val="clear"/>
          </w:tcPr>
          <w:p>
            <w:r>
              <w:t xml:space="preserve">Output addresses every governing document</w:t>
            </w:r>
          </w:p>
        </w:tc>
        <w:tc>
          <w:tcPr>
            <w:shd w:fill="F5F5F5" w:val="clear"/>
          </w:tcPr>
          <w:p>
            <w:r>
              <w:t xml:space="preserve">PASS</w:t>
            </w:r>
          </w:p>
        </w:tc>
      </w:tr>
      <w:tr>
        <w:trPr>
          <w:tblHeader w:val="false"/>
        </w:trPr>
        <w:tc>
          <w:p>
            <w:r>
              <w:t xml:space="preserve">G3</w:t>
            </w:r>
          </w:p>
        </w:tc>
        <w:tc>
          <w:p>
            <w:r>
              <w:t xml:space="preserve">No placeholder text or empty sections</w:t>
            </w:r>
          </w:p>
        </w:tc>
        <w:tc>
          <w:p>
            <w:r>
              <w:t xml:space="preserve">PASS</w:t>
            </w:r>
          </w:p>
        </w:tc>
      </w:tr>
      <w:tr>
        <w:trPr>
          <w:tblHeader w:val="false"/>
        </w:trPr>
        <w:tc>
          <w:tcPr>
            <w:shd w:fill="F5F5F5" w:val="clear"/>
          </w:tcPr>
          <w:p>
            <w:r>
              <w:t xml:space="preserve">G4</w:t>
            </w:r>
          </w:p>
        </w:tc>
        <w:tc>
          <w:tcPr>
            <w:shd w:fill="F5F5F5" w:val="clear"/>
          </w:tcPr>
          <w:p>
            <w:r>
              <w:t xml:space="preserve">All findings cross-referenced to sources</w:t>
            </w:r>
          </w:p>
        </w:tc>
        <w:tc>
          <w:tcPr>
            <w:shd w:fill="F5F5F5" w:val="clear"/>
          </w:tcPr>
          <w:p>
            <w:r>
              <w:t xml:space="preserve">PASS</w:t>
            </w:r>
          </w:p>
        </w:tc>
      </w:tr>
      <w:tr>
        <w:trPr>
          <w:tblHeader w:val="false"/>
        </w:trPr>
        <w:tc>
          <w:p>
            <w:r>
              <w:t xml:space="preserve">G5</w:t>
            </w:r>
          </w:p>
        </w:tc>
        <w:tc>
          <w:p>
            <w:r>
              <w:t xml:space="preserve">Grounding evidence cited where applicable</w:t>
            </w:r>
          </w:p>
        </w:tc>
        <w:tc>
          <w:p>
            <w:r>
              <w:t xml:space="preserve">PASS</w:t>
            </w:r>
          </w:p>
        </w:tc>
      </w:tr>
      <w:tr>
        <w:trPr>
          <w:tblHeader w:val="false"/>
        </w:trPr>
        <w:tc>
          <w:tcPr>
            <w:shd w:fill="F5F5F5" w:val="clear"/>
          </w:tcPr>
          <w:p>
            <w:r>
              <w:t xml:space="preserve">G6</w:t>
            </w:r>
          </w:p>
        </w:tc>
        <w:tc>
          <w:tcPr>
            <w:shd w:fill="F5F5F5" w:val="clear"/>
          </w:tcPr>
          <w:p>
            <w:r>
              <w:t xml:space="preserve">No internal contradictions</w:t>
            </w:r>
          </w:p>
        </w:tc>
        <w:tc>
          <w:tcPr>
            <w:shd w:fill="F5F5F5" w:val="clear"/>
          </w:tcPr>
          <w:p>
            <w:r>
              <w:t xml:space="preserve">PASS</w:t>
            </w:r>
          </w:p>
        </w:tc>
      </w:tr>
      <w:tr>
        <w:trPr>
          <w:tblHeader w:val="false"/>
        </w:trPr>
        <w:tc>
          <w:p>
            <w:r>
              <w:t xml:space="preserve">G7</w:t>
            </w:r>
          </w:p>
        </w:tc>
        <w:tc>
          <w:p>
            <w:r>
              <w:t xml:space="preserve">Identifiers lifted from governing documents</w:t>
            </w:r>
          </w:p>
        </w:tc>
        <w:tc>
          <w:p>
            <w:r>
              <w:t xml:space="preserve">PASS</w:t>
            </w:r>
          </w:p>
        </w:tc>
      </w:tr>
      <w:tr>
        <w:trPr>
          <w:tblHeader w:val="false"/>
        </w:trPr>
        <w:tc>
          <w:tcPr>
            <w:shd w:fill="F5F5F5" w:val="clear"/>
          </w:tcPr>
          <w:p>
            <w:r>
              <w:t xml:space="preserve">G8</w:t>
            </w:r>
          </w:p>
        </w:tc>
        <w:tc>
          <w:tcPr>
            <w:shd w:fill="F5F5F5" w:val="clear"/>
          </w:tcPr>
          <w:p>
            <w:r>
              <w:t xml:space="preserve">Review covers full scope of submission</w:t>
            </w:r>
          </w:p>
        </w:tc>
        <w:tc>
          <w:tcPr>
            <w:shd w:fill="F5F5F5" w:val="clear"/>
          </w:tcPr>
          <w:p>
            <w:r>
              <w:t xml:space="preserve">PASS</w:t>
            </w:r>
          </w:p>
        </w:tc>
      </w:tr>
      <w:tr>
        <w:trPr>
          <w:tblHeader w:val="false"/>
        </w:trPr>
        <w:tc>
          <w:p>
            <w:r>
              <w:t xml:space="preserve">G9</w:t>
            </w:r>
          </w:p>
        </w:tc>
        <w:tc>
          <w:p>
            <w:r>
              <w:t xml:space="preserve">Verdict clearly stated with reasoning</w:t>
            </w:r>
          </w:p>
        </w:tc>
        <w:tc>
          <w:p>
            <w:r>
              <w:t xml:space="preserve">PASS</w:t>
            </w:r>
          </w:p>
        </w:tc>
      </w:tr>
      <w:tr>
        <w:trPr>
          <w:tblHeader w:val="false"/>
        </w:trPr>
        <w:tc>
          <w:tcPr>
            <w:shd w:fill="F5F5F5" w:val="clear"/>
          </w:tcPr>
          <w:p>
            <w:r>
              <w:t xml:space="preserve">G10</w:t>
            </w:r>
          </w:p>
        </w:tc>
        <w:tc>
          <w:tcPr>
            <w:shd w:fill="F5F5F5" w:val="clear"/>
          </w:tcPr>
          <w:p>
            <w:r>
              <w:t xml:space="preserve">Fix instructions are actionable</w:t>
            </w:r>
          </w:p>
        </w:tc>
        <w:tc>
          <w:tcPr>
            <w:shd w:fill="F5F5F5" w:val="clear"/>
          </w:tcPr>
          <w:p>
            <w:r>
              <w:t xml:space="preserve">PASS</w:t>
            </w:r>
          </w:p>
        </w:tc>
      </w:tr>
    </w:tbl>
    <w:p/>
    <w:p>
      <w:pPr>
        <w:pStyle w:val="Heading1"/>
        <w:pBdr>
          <w:bottom w:val="single" w:color="1F6FB2" w:sz="6"/>
        </w:pBdr>
        <w:spacing w:after="120" w:before="240"/>
      </w:pPr>
      <w:r>
        <w:rPr>
          <w:b/>
          <w:bCs/>
          <w:color w:val="0F2E4C"/>
        </w:rPr>
        <w:t xml:space="preserve">— Tier 2 — CPM Baseline</w:t>
      </w:r>
    </w:p>
    <w:p>
      <w:pPr>
        <w:spacing w:after="120"/>
      </w:pPr>
      <w:r>
        <w:rPr>
          <w:b/>
          <w:bCs/>
        </w:rPr>
        <w:t xml:space="preserve">Tier 2 Result: 0 of 18 pass.</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ID</w:t>
            </w:r>
          </w:p>
        </w:tc>
        <w:tc>
          <w:tcPr>
            <w:shd w:fill="0F2E4C" w:val="clear"/>
          </w:tcPr>
          <w:p>
            <w:pPr>
              <w:jc w:val="left"/>
            </w:pPr>
            <w:r>
              <w:rPr>
                <w:b/>
                <w:bCs/>
                <w:color w:val="FFFFFF"/>
              </w:rPr>
              <w:t xml:space="preserve">Check</w:t>
            </w:r>
          </w:p>
        </w:tc>
        <w:tc>
          <w:tcPr>
            <w:shd w:fill="0F2E4C" w:val="clear"/>
          </w:tcPr>
          <w:p>
            <w:pPr>
              <w:jc w:val="left"/>
            </w:pPr>
            <w:r>
              <w:rPr>
                <w:b/>
                <w:bCs/>
                <w:color w:val="FFFFFF"/>
              </w:rPr>
              <w:t xml:space="preserve">Status</w:t>
            </w:r>
          </w:p>
        </w:tc>
        <w:tc>
          <w:tcPr>
            <w:shd w:fill="0F2E4C" w:val="clear"/>
          </w:tcPr>
          <w:p>
            <w:pPr>
              <w:jc w:val="left"/>
            </w:pPr>
            <w:r>
              <w:rPr>
                <w:b/>
                <w:bCs/>
                <w:color w:val="FFFFFF"/>
              </w:rPr>
              <w:t xml:space="preserve">Detail</w:t>
            </w:r>
          </w:p>
        </w:tc>
      </w:tr>
      <w:tr>
        <w:trPr>
          <w:tblHeader w:val="false"/>
        </w:trPr>
        <w:tc>
          <w:p>
            <w:r>
              <w:t xml:space="preserve">CPM1</w:t>
            </w:r>
          </w:p>
        </w:tc>
        <w:tc>
          <w:p>
            <w:r>
              <w:t xml:space="preserve">Correct calendar applied</w:t>
            </w:r>
          </w:p>
        </w:tc>
        <w:tc>
          <w:p>
            <w:r>
              <w:rPr>
                <w:b/>
                <w:bCs/>
              </w:rPr>
              <w:t xml:space="preserve">FAIL</w:t>
            </w:r>
          </w:p>
        </w:tc>
        <w:tc>
          <w:p>
            <w:r>
              <w:t xml:space="preserve">7-day vs required 5-day (Clause 3.2)</w:t>
            </w:r>
          </w:p>
        </w:tc>
      </w:tr>
      <w:tr>
        <w:trPr>
          <w:tblHeader w:val="false"/>
        </w:trPr>
        <w:tc>
          <w:tcPr>
            <w:shd w:fill="F5F5F5" w:val="clear"/>
          </w:tcPr>
          <w:p>
            <w:r>
              <w:t xml:space="preserve">CPM2</w:t>
            </w:r>
          </w:p>
        </w:tc>
        <w:tc>
          <w:tcPr>
            <w:shd w:fill="F5F5F5" w:val="clear"/>
          </w:tcPr>
          <w:p>
            <w:r>
              <w:t xml:space="preserve">WBS structure present</w:t>
            </w:r>
          </w:p>
        </w:tc>
        <w:tc>
          <w:tcPr>
            <w:shd w:fill="F5F5F5" w:val="clear"/>
          </w:tcPr>
          <w:p>
            <w:r>
              <w:rPr>
                <w:b/>
                <w:bCs/>
              </w:rPr>
              <w:t xml:space="preserve">FAIL</w:t>
            </w:r>
          </w:p>
        </w:tc>
        <w:tc>
          <w:tcPr>
            <w:shd w:fill="F5F5F5" w:val="clear"/>
          </w:tcPr>
          <w:p>
            <w:r>
              <w:t xml:space="preserve">Flat list, no hierarchy</w:t>
            </w:r>
          </w:p>
        </w:tc>
      </w:tr>
      <w:tr>
        <w:trPr>
          <w:tblHeader w:val="false"/>
        </w:trPr>
        <w:tc>
          <w:p>
            <w:r>
              <w:t xml:space="preserve">CPM3</w:t>
            </w:r>
          </w:p>
        </w:tc>
        <w:tc>
          <w:p>
            <w:r>
              <w:t xml:space="preserve">Activities at appropriate level</w:t>
            </w:r>
          </w:p>
        </w:tc>
        <w:tc>
          <w:p>
            <w:r>
              <w:rPr>
                <w:b/>
                <w:bCs/>
              </w:rPr>
              <w:t xml:space="preserve">FAIL</w:t>
            </w:r>
          </w:p>
        </w:tc>
        <w:tc>
          <w:p>
            <w:r>
              <w:t xml:space="preserve">Too coarse; 34 activities for €22.2M package</w:t>
            </w:r>
          </w:p>
        </w:tc>
      </w:tr>
      <w:tr>
        <w:trPr>
          <w:tblHeader w:val="false"/>
        </w:trPr>
        <w:tc>
          <w:tcPr>
            <w:shd w:fill="F5F5F5" w:val="clear"/>
          </w:tcPr>
          <w:p>
            <w:r>
              <w:t xml:space="preserve">CPM4</w:t>
            </w:r>
          </w:p>
        </w:tc>
        <w:tc>
          <w:tcPr>
            <w:shd w:fill="F5F5F5" w:val="clear"/>
          </w:tcPr>
          <w:p>
            <w:r>
              <w:t xml:space="preserve">All durations grounded</w:t>
            </w:r>
          </w:p>
        </w:tc>
        <w:tc>
          <w:tcPr>
            <w:shd w:fill="F5F5F5" w:val="clear"/>
          </w:tcPr>
          <w:p>
            <w:r>
              <w:rPr>
                <w:b/>
                <w:bCs/>
              </w:rPr>
              <w:t xml:space="preserve">FAIL</w:t>
            </w:r>
          </w:p>
        </w:tc>
        <w:tc>
          <w:tcPr>
            <w:shd w:fill="F5F5F5" w:val="clear"/>
          </w:tcPr>
          <w:p>
            <w:r>
              <w:t xml:space="preserve">No historical citations or rate build-ups</w:t>
            </w:r>
          </w:p>
        </w:tc>
      </w:tr>
      <w:tr>
        <w:trPr>
          <w:tblHeader w:val="false"/>
        </w:trPr>
        <w:tc>
          <w:p>
            <w:r>
              <w:t xml:space="preserve">CPM5</w:t>
            </w:r>
          </w:p>
        </w:tc>
        <w:tc>
          <w:p>
            <w:r>
              <w:t xml:space="preserve">Network fully connected</w:t>
            </w:r>
          </w:p>
        </w:tc>
        <w:tc>
          <w:p>
            <w:r>
              <w:rPr>
                <w:b/>
                <w:bCs/>
              </w:rPr>
              <w:t xml:space="preserve">FAIL</w:t>
            </w:r>
          </w:p>
        </w:tc>
        <w:tc>
          <w:p>
            <w:r>
              <w:t xml:space="preserve">3 no-pred, 9 no-succ</w:t>
            </w:r>
          </w:p>
        </w:tc>
      </w:tr>
      <w:tr>
        <w:trPr>
          <w:tblHeader w:val="false"/>
        </w:trPr>
        <w:tc>
          <w:tcPr>
            <w:shd w:fill="F5F5F5" w:val="clear"/>
          </w:tcPr>
          <w:p>
            <w:r>
              <w:t xml:space="preserve">CPM6</w:t>
            </w:r>
          </w:p>
        </w:tc>
        <w:tc>
          <w:tcPr>
            <w:shd w:fill="F5F5F5" w:val="clear"/>
          </w:tcPr>
          <w:p>
            <w:r>
              <w:t xml:space="preserve">Critical path spans start to handover</w:t>
            </w:r>
          </w:p>
        </w:tc>
        <w:tc>
          <w:tcPr>
            <w:shd w:fill="F5F5F5" w:val="clear"/>
          </w:tcPr>
          <w:p>
            <w:r>
              <w:rPr>
                <w:b/>
                <w:bCs/>
              </w:rPr>
              <w:t xml:space="preserve">FAIL</w:t>
            </w:r>
          </w:p>
        </w:tc>
        <w:tc>
          <w:tcPr>
            <w:shd w:fill="F5F5F5" w:val="clear"/>
          </w:tcPr>
          <w:p>
            <w:r>
              <w:t xml:space="preserve">11 of 34 on CP</w:t>
            </w:r>
          </w:p>
        </w:tc>
      </w:tr>
      <w:tr>
        <w:trPr>
          <w:tblHeader w:val="false"/>
        </w:trPr>
        <w:tc>
          <w:p>
            <w:r>
              <w:t xml:space="preserve">CPM7</w:t>
            </w:r>
          </w:p>
        </w:tc>
        <w:tc>
          <w:p>
            <w:r>
              <w:t xml:space="preserve">No open ends except start/finish</w:t>
            </w:r>
          </w:p>
        </w:tc>
        <w:tc>
          <w:p>
            <w:r>
              <w:rPr>
                <w:b/>
                <w:bCs/>
              </w:rPr>
              <w:t xml:space="preserve">FAIL</w:t>
            </w:r>
          </w:p>
        </w:tc>
        <w:tc>
          <w:p>
            <w:r>
              <w:t xml:space="preserve">2 open starts, 8 open ends</w:t>
            </w:r>
          </w:p>
        </w:tc>
      </w:tr>
      <w:tr>
        <w:trPr>
          <w:tblHeader w:val="false"/>
        </w:trPr>
        <w:tc>
          <w:tcPr>
            <w:shd w:fill="F5F5F5" w:val="clear"/>
          </w:tcPr>
          <w:p>
            <w:r>
              <w:t xml:space="preserve">CPM8</w:t>
            </w:r>
          </w:p>
        </w:tc>
        <w:tc>
          <w:tcPr>
            <w:shd w:fill="F5F5F5" w:val="clear"/>
          </w:tcPr>
          <w:p>
            <w:r>
              <w:t xml:space="preserve">All milestones contractually identified</w:t>
            </w:r>
          </w:p>
        </w:tc>
        <w:tc>
          <w:tcPr>
            <w:shd w:fill="F5F5F5" w:val="clear"/>
          </w:tcPr>
          <w:p>
            <w:r>
              <w:rPr>
                <w:b/>
                <w:bCs/>
              </w:rPr>
              <w:t xml:space="preserve">FAIL</w:t>
            </w:r>
          </w:p>
        </w:tc>
        <w:tc>
          <w:tcPr>
            <w:shd w:fill="F5F5F5" w:val="clear"/>
          </w:tcPr>
          <w:p>
            <w:r>
              <w:t xml:space="preserve">Missing 4 sectional completions</w:t>
            </w:r>
          </w:p>
        </w:tc>
      </w:tr>
      <w:tr>
        <w:trPr>
          <w:tblHeader w:val="false"/>
        </w:trPr>
        <w:tc>
          <w:p>
            <w:r>
              <w:t xml:space="preserve">CPM9</w:t>
            </w:r>
          </w:p>
        </w:tc>
        <w:tc>
          <w:p>
            <w:r>
              <w:t xml:space="preserve">Resource-loaded</w:t>
            </w:r>
          </w:p>
        </w:tc>
        <w:tc>
          <w:p>
            <w:r>
              <w:rPr>
                <w:b/>
                <w:bCs/>
              </w:rPr>
              <w:t xml:space="preserve">FAIL</w:t>
            </w:r>
          </w:p>
        </w:tc>
        <w:tc>
          <w:p>
            <w:r>
              <w:t xml:space="preserve">Zero resources on 34 activities</w:t>
            </w:r>
          </w:p>
        </w:tc>
      </w:tr>
      <w:tr>
        <w:trPr>
          <w:tblHeader w:val="false"/>
        </w:trPr>
        <w:tc>
          <w:tcPr>
            <w:shd w:fill="F5F5F5" w:val="clear"/>
          </w:tcPr>
          <w:p>
            <w:r>
              <w:t xml:space="preserve">CPM10</w:t>
            </w:r>
          </w:p>
        </w:tc>
        <w:tc>
          <w:tcPr>
            <w:shd w:fill="F5F5F5" w:val="clear"/>
          </w:tcPr>
          <w:p>
            <w:r>
              <w:t xml:space="preserve">Key phase/handover milestones present</w:t>
            </w:r>
          </w:p>
        </w:tc>
        <w:tc>
          <w:tcPr>
            <w:shd w:fill="F5F5F5" w:val="clear"/>
          </w:tcPr>
          <w:p>
            <w:r>
              <w:rPr>
                <w:b/>
                <w:bCs/>
              </w:rPr>
              <w:t xml:space="preserve">FAIL</w:t>
            </w:r>
          </w:p>
        </w:tc>
        <w:tc>
          <w:tcPr>
            <w:shd w:fill="F5F5F5" w:val="clear"/>
          </w:tcPr>
          <w:p>
            <w:r>
              <w:t xml:space="preserve">Single completion only</w:t>
            </w:r>
          </w:p>
        </w:tc>
      </w:tr>
      <w:tr>
        <w:trPr>
          <w:tblHeader w:val="false"/>
        </w:trPr>
        <w:tc>
          <w:p>
            <w:r>
              <w:t xml:space="preserve">CPM11</w:t>
            </w:r>
          </w:p>
        </w:tc>
        <w:tc>
          <w:p>
            <w:r>
              <w:t xml:space="preserve">Risk analysis performed</w:t>
            </w:r>
          </w:p>
        </w:tc>
        <w:tc>
          <w:p>
            <w:r>
              <w:rPr>
                <w:b/>
                <w:bCs/>
              </w:rPr>
              <w:t xml:space="preserve">FAIL</w:t>
            </w:r>
          </w:p>
        </w:tc>
        <w:tc>
          <w:p>
            <w:r>
              <w:t xml:space="preserve">None</w:t>
            </w:r>
          </w:p>
        </w:tc>
      </w:tr>
      <w:tr>
        <w:trPr>
          <w:tblHeader w:val="false"/>
        </w:trPr>
        <w:tc>
          <w:tcPr>
            <w:shd w:fill="F5F5F5" w:val="clear"/>
          </w:tcPr>
          <w:p>
            <w:r>
              <w:t xml:space="preserve">CPM12</w:t>
            </w:r>
          </w:p>
        </w:tc>
        <w:tc>
          <w:tcPr>
            <w:shd w:fill="F5F5F5" w:val="clear"/>
          </w:tcPr>
          <w:p>
            <w:r>
              <w:t xml:space="preserve">Basis of Schedule provided</w:t>
            </w:r>
          </w:p>
        </w:tc>
        <w:tc>
          <w:tcPr>
            <w:shd w:fill="F5F5F5" w:val="clear"/>
          </w:tcPr>
          <w:p>
            <w:r>
              <w:rPr>
                <w:b/>
                <w:bCs/>
              </w:rPr>
              <w:t xml:space="preserve">FAIL</w:t>
            </w:r>
          </w:p>
        </w:tc>
        <w:tc>
          <w:tcPr>
            <w:shd w:fill="F5F5F5" w:val="clear"/>
          </w:tcPr>
          <w:p>
            <w:r>
              <w:t xml:space="preserve">None supplied</w:t>
            </w:r>
          </w:p>
        </w:tc>
      </w:tr>
      <w:tr>
        <w:trPr>
          <w:tblHeader w:val="false"/>
        </w:trPr>
        <w:tc>
          <w:p>
            <w:r>
              <w:t xml:space="preserve">CPM13</w:t>
            </w:r>
          </w:p>
        </w:tc>
        <w:tc>
          <w:p>
            <w:r>
              <w:t xml:space="preserve">DCMA 14-point ≥ 70</w:t>
            </w:r>
          </w:p>
        </w:tc>
        <w:tc>
          <w:p>
            <w:r>
              <w:rPr>
                <w:b/>
                <w:bCs/>
              </w:rPr>
              <w:t xml:space="preserve">FAIL</w:t>
            </w:r>
          </w:p>
        </w:tc>
        <w:tc>
          <w:p>
            <w:r>
              <w:t xml:space="preserve">41.67</w:t>
            </w:r>
          </w:p>
        </w:tc>
      </w:tr>
      <w:tr>
        <w:trPr>
          <w:tblHeader w:val="false"/>
        </w:trPr>
        <w:tc>
          <w:tcPr>
            <w:shd w:fill="F5F5F5" w:val="clear"/>
          </w:tcPr>
          <w:p>
            <w:r>
              <w:t xml:space="preserve">CPM14</w:t>
            </w:r>
          </w:p>
        </w:tc>
        <w:tc>
          <w:tcPr>
            <w:shd w:fill="F5F5F5" w:val="clear"/>
          </w:tcPr>
          <w:p>
            <w:r>
              <w:t xml:space="preserve">No unjustified hard constraints</w:t>
            </w:r>
          </w:p>
        </w:tc>
        <w:tc>
          <w:tcPr>
            <w:shd w:fill="F5F5F5" w:val="clear"/>
          </w:tcPr>
          <w:p>
            <w:r>
              <w:rPr>
                <w:b/>
                <w:bCs/>
              </w:rPr>
              <w:t xml:space="preserve">FAIL</w:t>
            </w:r>
          </w:p>
        </w:tc>
        <w:tc>
          <w:tcPr>
            <w:shd w:fill="F5F5F5" w:val="clear"/>
          </w:tcPr>
          <w:p>
            <w:r>
              <w:t xml:space="preserve">8 unexplained</w:t>
            </w:r>
          </w:p>
        </w:tc>
      </w:tr>
      <w:tr>
        <w:trPr>
          <w:tblHeader w:val="false"/>
        </w:trPr>
        <w:tc>
          <w:p>
            <w:r>
              <w:t xml:space="preserve">CPM15</w:t>
            </w:r>
          </w:p>
        </w:tc>
        <w:tc>
          <w:p>
            <w:r>
              <w:t xml:space="preserve">Float distribution reasonable</w:t>
            </w:r>
          </w:p>
        </w:tc>
        <w:tc>
          <w:p>
            <w:r>
              <w:rPr>
                <w:b/>
                <w:bCs/>
              </w:rPr>
              <w:t xml:space="preserve">FAIL</w:t>
            </w:r>
          </w:p>
        </w:tc>
        <w:tc>
          <w:p>
            <w:r>
              <w:t xml:space="preserve">55.9% high float</w:t>
            </w:r>
          </w:p>
        </w:tc>
      </w:tr>
      <w:tr>
        <w:trPr>
          <w:tblHeader w:val="false"/>
        </w:trPr>
        <w:tc>
          <w:tcPr>
            <w:shd w:fill="F5F5F5" w:val="clear"/>
          </w:tcPr>
          <w:p>
            <w:r>
              <w:t xml:space="preserve">CPM16</w:t>
            </w:r>
          </w:p>
        </w:tc>
        <w:tc>
          <w:tcPr>
            <w:shd w:fill="F5F5F5" w:val="clear"/>
          </w:tcPr>
          <w:p>
            <w:r>
              <w:t xml:space="preserve">Sectional dates match contract</w:t>
            </w:r>
          </w:p>
        </w:tc>
        <w:tc>
          <w:tcPr>
            <w:shd w:fill="F5F5F5" w:val="clear"/>
          </w:tcPr>
          <w:p>
            <w:r>
              <w:rPr>
                <w:b/>
                <w:bCs/>
              </w:rPr>
              <w:t xml:space="preserve">FAIL</w:t>
            </w:r>
          </w:p>
        </w:tc>
        <w:tc>
          <w:tcPr>
            <w:shd w:fill="F5F5F5" w:val="clear"/>
          </w:tcPr>
          <w:p>
            <w:r>
              <w:t xml:space="preserve">None present</w:t>
            </w:r>
          </w:p>
        </w:tc>
      </w:tr>
      <w:tr>
        <w:trPr>
          <w:tblHeader w:val="false"/>
        </w:trPr>
        <w:tc>
          <w:p>
            <w:r>
              <w:t xml:space="preserve">CPM17</w:t>
            </w:r>
          </w:p>
        </w:tc>
        <w:tc>
          <w:p>
            <w:r>
              <w:t xml:space="preserve">Schedule lint ≥ 80</w:t>
            </w:r>
          </w:p>
        </w:tc>
        <w:tc>
          <w:p>
            <w:r>
              <w:rPr>
                <w:b/>
                <w:bCs/>
              </w:rPr>
              <w:t xml:space="preserve">FAIL</w:t>
            </w:r>
          </w:p>
        </w:tc>
        <w:tc>
          <w:p>
            <w:r>
              <w:t xml:space="preserve">71 (C)</w:t>
            </w:r>
          </w:p>
        </w:tc>
      </w:tr>
      <w:tr>
        <w:trPr>
          <w:tblHeader w:val="false"/>
        </w:trPr>
        <w:tc>
          <w:tcPr>
            <w:shd w:fill="F5F5F5" w:val="clear"/>
          </w:tcPr>
          <w:p>
            <w:r>
              <w:t xml:space="preserve">CPM18</w:t>
            </w:r>
          </w:p>
        </w:tc>
        <w:tc>
          <w:tcPr>
            <w:shd w:fill="F5F5F5" w:val="clear"/>
          </w:tcPr>
          <w:p>
            <w:r>
              <w:t xml:space="preserve">reviewer approved</w:t>
            </w:r>
          </w:p>
        </w:tc>
        <w:tc>
          <w:tcPr>
            <w:shd w:fill="F5F5F5" w:val="clear"/>
          </w:tcPr>
          <w:p>
            <w:r>
              <w:rPr>
                <w:b/>
                <w:bCs/>
              </w:rPr>
              <w:t xml:space="preserve">FAIL</w:t>
            </w:r>
          </w:p>
        </w:tc>
        <w:tc>
          <w:tcPr>
            <w:shd w:fill="F5F5F5" w:val="clear"/>
          </w:tcPr>
          <w:p>
            <w:r>
              <w:t xml:space="preserve">REVISE verdict</w:t>
            </w:r>
          </w:p>
        </w:tc>
      </w:tr>
    </w:tbl>
    <w:p/>
    <w:p>
      <w:pPr>
        <w:pStyle w:val="Heading1"/>
        <w:pBdr>
          <w:bottom w:val="single" w:color="1F6FB2" w:sz="6"/>
        </w:pBdr>
        <w:spacing w:after="120" w:before="240"/>
      </w:pPr>
      <w:r>
        <w:rPr>
          <w:b/>
          <w:bCs/>
          <w:color w:val="0F2E4C"/>
        </w:rPr>
        <w:t xml:space="preserve">7. Recommendation</w:t>
      </w:r>
    </w:p>
    <w:p>
      <w:pPr>
        <w:spacing w:after="120"/>
      </w:pPr>
      <w:r>
        <w:rPr>
          <w:b/>
          <w:bCs/>
        </w:rPr>
        <w:t xml:space="preserve">Verdict: REJECT — Revise and Resubmit</w:t>
      </w:r>
    </w:p>
    <w:p>
      <w:pPr>
        <w:spacing w:after="120"/>
      </w:pPr>
      <w:r>
        <w:t xml:space="preserve">Accepting PDC-SCH-005 Rev 0 as it stands would mean accepting a programme that breaches Clause 3.2 (wrong calendar, procurement lead times not reflected), Clauses 3.1 and 3.2 (no sectional milestones), Clause 3.3 (simultaneous access assumed, progressive handover ignored), and Clause 2.2 (waste-heat connection outside the test window). Six independently fatal contractual compliance failures. Every one is cited to its governing clause.</w:t>
      </w:r>
    </w:p>
    <w:p>
      <w:pPr>
        <w:spacing w:after="120"/>
      </w:pPr>
      <w:r>
        <w:rPr>
          <w:b/>
          <w:bCs/>
        </w:rPr>
        <w:t xml:space="preserve">Ilmatek must, as a minimum:</w:t>
      </w:r>
    </w:p>
    <w:p>
      <w:pPr>
        <w:spacing w:after="120"/>
      </w:pPr>
      <w:r>
        <w:t xml:space="preserve">1. Rebuild the programme on PDC-CAL-001 (5-day week, summer shutdown, winter allowances) 2. Reference PDC-SUB-005 Rev 1 (the programme currently references the superseded Rev 0) 3. Structure the programme with four sectional completion milestones matching the subcontract Part 1 dates 4. Extend all procurement durations to match PDC-LT-001 registered lead times 5. Replace the single plantroom access milestone with four phased access dates per Clause 3.3 6. Re-schedule the waste-heat connection within the October–April window per Clause 2.2 7. Link all dangling activities into a fully connected network</w:t>
      </w:r>
    </w:p>
    <w:p>
      <w:pPr>
        <w:spacing w:after="120"/>
      </w:pPr>
      <w:r>
        <w:rPr>
          <w:b/>
          <w:bCs/>
        </w:rPr>
        <w:t xml:space="preserve">Resubmission deadline:</w:t>
      </w:r>
      <w:r>
        <w:t xml:space="preserve"> Within 14 days of this review.</w:t>
      </w:r>
    </w:p>
    <w:p>
      <w:pPr>
        <w:spacing w:after="120"/>
      </w:pPr>
      <w:r>
        <w:t xml:space="preserve">---</w:t>
      </w:r>
    </w:p>
    <w:p>
      <w:pPr>
        <w:pStyle w:val="Heading1"/>
        <w:pBdr>
          <w:bottom w:val="single" w:color="1F6FB2" w:sz="6"/>
        </w:pBdr>
        <w:spacing w:after="120" w:before="240"/>
      </w:pPr>
      <w:r>
        <w:rPr>
          <w:b/>
          <w:bCs/>
          <w:color w:val="0F2E4C"/>
        </w:rPr>
        <w:t xml:space="preserve">Appendix: Critical Path (as computed on submission)</w:t>
      </w:r>
    </w:p>
    <w:p>
      <w:pPr>
        <w:spacing w:after="120"/>
      </w:pPr>
      <w:r>
        <w:t xml:space="preserve">IL-1000 (Instruction) → IL-1010 (Bonds) → IL-1100 (CHW design) → IL-1120 (Ventilation design) → IL-1130 (Design review) → IL-1240 (CRAH order, 140 days) → IL-1250 (CRAH delivery) → IL-1530 (CRAH installation, 56 days) → IL-1700 (Static completion) → IL-1710 (Commissioning L4/L5) → IL-1740 (Subcontract works complete)</w:t>
      </w:r>
    </w:p>
    <w:p>
      <w:pPr>
        <w:spacing w:after="120"/>
      </w:pPr>
      <w:r>
        <w:t xml:space="preserve">Computed project duration: 351 working days on a 7-day calendar. This figure is not valid — the correct calendar will extend both the duration and the completion date.</w:t>
      </w:r>
    </w:p>
    <w:p>
      <w:pPr>
        <w:spacing w:after="120"/>
      </w:pPr>
      <w:r>
        <w:t xml:space="preserve">---</w:t>
      </w:r>
    </w:p>
    <w:p>
      <w:pPr>
        <w:spacing w:after="120"/>
      </w:pPr>
      <w:r>
        <w:rPr>
          <w:i/>
          <w:iCs/>
        </w:rPr>
        <w:t xml:space="preserve">End of Review — PDC-SCH-005 Rev 0 Programme Compliance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*4 August 2026</w:t>
            </w:r>
          </w:p>
        </w:tc>
        <w:tc>
          <w:tcPr>
            <w:shd w:fill="0F2E4C" w:val="clear"/>
          </w:tcPr>
          <w:p>
            <w:pPr>
              <w:jc w:val="left"/>
            </w:pPr>
            <w:r>
              <w:rPr>
                <w:b/>
                <w:bCs/>
                <w:color w:val="FFFFFF"/>
              </w:rPr>
              <w:t xml:space="preserve">Polaris DC-1 Project Team*</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1C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2026-08-04T20:36:43.121Z</dcterms:created>
  <dcterms:modified xsi:type="dcterms:W3CDTF">2026-08-04T20:36:43.121Z</dcterms:modified>
</cp:coreProperties>
</file>

<file path=docProps/custom.xml><?xml version="1.0" encoding="utf-8"?>
<Properties xmlns="http://schemas.openxmlformats.org/officeDocument/2006/custom-properties" xmlns:vt="http://schemas.openxmlformats.org/officeDocument/2006/docPropsVTypes"/>
</file>