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POLARIS DC-1 — SITE LOGISTICS PLAN</w:t>
      </w:r>
    </w:p>
    <w:p>
      <w:pPr>
        <w:pStyle w:val="Heading1"/>
      </w:pPr>
      <w:r>
        <w:rPr>
          <w:b/>
          <w:bCs/>
        </w:rPr>
        <w:t xml:space="preserve">Project Manager's Covering Note</w:t>
      </w:r>
    </w:p>
    <w:p>
      <w:r>
        <w:t xml:space="preserve">**From:** Logistics Manager **Date:** 5 August 2026 **Ref:** PDC-LOG-002 Rev 0 **Subject:** Site Logistics Plan — Pre-Start Issue (16 monthly plans + Schedule of Areas)</w:t>
      </w:r>
    </w:p>
    <w:p>
      <w:r>
        <w:t xml:space="preserve">---</w:t>
      </w:r>
    </w:p>
    <w:p>
      <w:pPr>
        <w:pStyle w:val="Heading1"/>
      </w:pPr>
      <w:r>
        <w:rPr>
          <w:b/>
          <w:bCs/>
        </w:rPr>
        <w:t xml:space="preserve">— 1. Purpose</w:t>
      </w:r>
    </w:p>
    <w:p>
      <w:r>
        <w:t xml:space="preserve">This package delivers the site logistics plan required by Company Standard PDC-LOG-001 Rev C for Polaris DC-1, Aviapolis Data Campus. The plan covers the full 16-month construction period (March 2026 – June 2027) and is issued for the pre-start meeting.</w:t>
      </w:r>
    </w:p>
    <w:p>
      <w:r>
        <w:t xml:space="preserve">---</w:t>
      </w:r>
    </w:p>
    <w:p>
      <w:pPr>
        <w:pStyle w:val="Heading1"/>
      </w:pPr>
      <w:r>
        <w:rPr>
          <w:b/>
          <w:bCs/>
        </w:rPr>
        <w:t xml:space="preserve">— 2. What Has Been Produced</w:t>
      </w:r>
    </w:p>
    <w:p>
      <w:r>
        <w:t xml:space="preserve">---</w:t>
      </w:r>
    </w:p>
    <w:p>
      <w:pPr>
        <w:pStyle w:val="ListParagraph"/>
        <w:numPr>
          <w:ilvl w:val="0"/>
          <w:numId w:val="1"/>
        </w:numPr>
      </w:pPr>
      <w:r>
        <w:t xml:space="preserve">**16 monthly site logistics plans** (PDC-LOG-002-M01 to M16), each drawn to scale on the PDC-DWG-017 base plan. Every plan shows the seven mandatory facility types required by PDC-LOG-001 §4: parking, site accommodation, storage compounds (named per subcontractor), pedestrian routes, vehicle routes/gate/turning, craneage with radii, and material lifting points.</w:t>
      </w:r>
    </w:p>
    <w:p>
      <w:pPr>
        <w:pStyle w:val="ListParagraph"/>
        <w:numPr>
          <w:ilvl w:val="0"/>
          <w:numId w:val="1"/>
        </w:numPr>
      </w:pPr>
      <w:r>
        <w:t xml:space="preserve">**Schedule of Areas spreadsheet** — every facility, its area in m², its occupier, and the months it exists. Changes from the previous month are called out on each drawing and in the spreadsheet.</w:t>
      </w:r>
    </w:p>
    <w:p>
      <w:pPr>
        <w:pStyle w:val="ListParagraph"/>
        <w:numPr>
          <w:ilvl w:val="0"/>
          <w:numId w:val="1"/>
        </w:numPr>
      </w:pPr>
      <w:r>
        <w:t xml:space="preserve">**This covering note** summarising the key decisions, the integration process, and the conflicts that need your attention.</w:t>
      </w:r>
    </w:p>
    <w:p>
      <w:pPr>
        <w:pStyle w:val="Heading1"/>
      </w:pPr>
      <w:r>
        <w:rPr>
          <w:b/>
          <w:bCs/>
        </w:rPr>
        <w:t xml:space="preserve">— 3. Integration of the Eight Baseline Programmes</w:t>
      </w:r>
    </w:p>
    <w:p>
      <w:r>
        <w:t xml:space="preserve">All eight Trade Partner baseline programmes (TP-001 to TP-008) were read and their laydown requirements extracted. Where a schedule did not state a laydown figure explicitly (TP-005 and TP-006), I derived one from the equipment list, crew counts, and the compound sizing rules in PDC-LOG-001.</w:t>
      </w:r>
    </w:p>
    <w:p>
      <w:r>
        <w:t xml:space="preserve">The single largest space demand is TP-001 Kallio's earthworks stockpile, which peaks at **4,200 m² in May 2026** and occupies the entire eastern half of the plot. This stockpile drives the phasing of every other compound: nothing can be placed east of the vehicle spine until the stockpile starts drawing down in September 2026.</w:t>
      </w:r>
    </w:p>
    <w:p>
      <w:r>
        <w:t xml:space="preserve">The plan respects every constraint the programmes impose: the Finavia crane permit clearance period (21 working days), the 110 kV overhead line exclusion zone (TP-002 requires written DNO permission — flagged on every affected drawing), the summer shutdown weeks (28–30) for Ilmatek, the weathertightness dates that gate TP-004's external storage, and the sectional completion sequence.</w:t>
      </w:r>
    </w:p>
    <w:p>
      <w:r>
        <w:t xml:space="preserve">---</w:t>
      </w:r>
    </w:p>
    <w:p>
      <w:pPr>
        <w:pStyle w:val="Heading1"/>
      </w:pPr>
      <w:r>
        <w:rPr>
          <w:b/>
          <w:bCs/>
        </w:rPr>
        <w:t xml:space="preserve">— 4. Key Design Decisions</w:t>
      </w:r>
    </w:p>
    <w:p>
      <w:r>
        <w:t xml:space="preserve">**Single gate.** There is one access point on Tikkurilantie and PDC-DWG-017 is explicit that no second entry is permitted. All vehicle movements — earthworks muck-away (18–22 loads/day at peak), steel deliveries on 18 m trailers, and daily operative traffic — funnel through this one gate. The vehicle route is designed as a spine from the gate north to an E-W distributor at approximately Y=55–63 m, with a 25 m diameter turning head inside the gate. The gate management strategy is set out in Section 6 below.</w:t>
      </w:r>
    </w:p>
    <w:p>
      <w:r>
        <w:t xml:space="preserve">**Pedestrian segregation.** The pedestrian route runs along the northern site edge (Y=111.5–113.5 m), physically separated from the vehicle route by distance and barrier. Three designated crossings connect the route to the building compound. This complies with PDC-LOG-001 §8.</w:t>
      </w:r>
    </w:p>
    <w:p>
      <w:r>
        <w:t xml:space="preserve">**Parking and welfare.** Both scale monthly with headcount per the PDC-LOG-001 sizing rules (1 space per 2.5 operatives, 8 m² offices per staff member, 0.5 m² drying per operative, etc.). The welfare block is designed as a 2-storey modular installation, which keeps its footprint manageable at peak (~347 m²).</w:t>
      </w:r>
    </w:p>
    <w:p>
      <w:r>
        <w:t xml:space="preserve">**Craneage.** The 250-tonne mobile crane for TP-002 (Teräsrakenne) moves sequentially through the four data halls and its exclusion zone (35 m radius + 10%) governs the placement of adjacent compounds in the months it is active. The 110 kV overhead line constraint in the north-east of the plot has been flagged on all relevant months. A separate crane lift for the eight generator units (TP-006) is shown in November–December 2026.</w:t>
      </w:r>
    </w:p>
    <w:p>
      <w:r>
        <w:t xml:space="preserve">---</w:t>
      </w:r>
    </w:p>
    <w:p>
      <w:pPr>
        <w:pStyle w:val="Heading1"/>
      </w:pPr>
      <w:r>
        <w:rPr>
          <w:b/>
          <w:bCs/>
        </w:rPr>
        <w:t xml:space="preserve">— 5. What Moves and When (Key Transitions)</w:t>
      </w:r>
    </w:p>
    <w:p>
      <w:r>
        <w:t xml:space="preserve">I have called out every movement, arrival and departure on each monthly drawing. The five critical transitions are:</w:t>
      </w:r>
    </w:p>
    <w:p>
      <w:r>
        <w:t xml:space="preserve">---</w:t>
      </w:r>
    </w:p>
    <w:p>
      <w:pPr>
        <w:pStyle w:val="Heading1"/>
      </w:pPr>
      <w:r>
        <w:rPr>
          <w:b/>
          <w:bCs/>
        </w:rPr>
        <w:t xml:space="preserve">— 6. Gate Management Strategy</w:t>
      </w:r>
    </w:p>
    <w:p>
      <w:r>
        <w:t xml:space="preserve">A single gate serving up to 250 operatives plus all material deliveries is the binding site logistics constraint. Without active management, it will queue onto the shared access road — which serves a 24/7 operating neighbour and must never be obstructed.</w:t>
      </w:r>
    </w:p>
    <w:p>
      <w:r>
        <w:t xml:space="preserve">**The following measures are built into the plan and must be operational before headcount exceeds 150 (November 2026):**</w:t>
      </w:r>
    </w:p>
    <w:p>
      <w:r>
        <w:t xml:space="preserve">1. **Delivery Booking System.** All deliveries must be booked in 60-minute windows. No vehicle approaches the gate without a confirmed slot. The gatehouse maintains a live schedule shared with the neighbour's facilities manager. This is mandatory from Month 7 (September 2026) for TP-002 steel deliveries and from Month 9 (November 2026) for all deliveries site-wide.</w:t>
      </w:r>
    </w:p>
    <w:p>
      <w:r>
        <w:t xml:space="preserve">2. **Staggered Shift Starts.** Operatives: 06:30, 07:00, and 07:30 start times, allocated by subcontractor. Staff: 07:00. This spreads the morning peak across one hour instead of one moment.</w:t>
      </w:r>
    </w:p>
    <w:p>
      <w:r>
        <w:t xml:space="preserve">3. **Holding Lane.** A three-vehicle holding lane is marked inside the gate (shown on all plans where ops &gt; 150). Vehicles wait inside the site boundary, never on the access road or Tikkurilantie. Any vehicle arriving outside its slot is turned away at the highway and re-booked.</w:t>
      </w:r>
    </w:p>
    <w:p>
      <w:r>
        <w:t xml:space="preserve">4. **Dedicated Delivery Manager.** One logistics coordinator in the gatehouse with radio to all compounds, managing the live schedule and marshalling arrivals. This role is required from Month 7.</w:t>
      </w:r>
    </w:p>
    <w:p>
      <w:r>
        <w:t xml:space="preserve">5. **Material Types by Time Window.** Bulk materials (concrete, aggregates) 06:00–09:00. Steel/precast on abnormal loads 09:00–12:00. General deliveries 12:00–16:00. Collections/skips 16:00–18:00. Operative arrivals distributed across the shift starts above.</w:t>
      </w:r>
    </w:p>
    <w:p>
      <w:r>
        <w:t xml:space="preserve">6. **Earthworks Exception (Months 1–7).** Muck-away lorries operate on a continuous cycle with their own banksman at the gate. The loading shovel controls the cycle rate; the gate does not queue muck-away vehicles — they are called forward from a holding area on the eastern stockpile pad.</w:t>
      </w:r>
    </w:p>
    <w:p>
      <w:r>
        <w:t xml:space="preserve">**Peak-hour capacity analysis:** At 250 operatives, assuming 80% drive (200 cars), 3 shift starts spread over 60 minutes = ~7 cars/minute through the gate — well within a single-lane gate's capacity. Material deliveries: 15–20 per day across 10 delivery hours = 1.5–2 per hour, each taking ~5 minutes at the gate. **Total gate utilisation at peak: approximately 45–55% of capacity.** The constraint is not the gate itself but the discipline of the booking system.</w:t>
      </w:r>
    </w:p>
    <w:p>
      <w:r>
        <w:t xml:space="preserve">---</w:t>
      </w:r>
    </w:p>
    <w:p>
      <w:pPr>
        <w:pStyle w:val="Heading1"/>
      </w:pPr>
      <w:r>
        <w:rPr>
          <w:b/>
          <w:bCs/>
        </w:rPr>
        <w:t xml:space="preserve">— 7. Conflicts That Need Attention</w:t>
      </w:r>
    </w:p>
    <w:p>
      <w:r>
        <w:t xml:space="preserve">1. **110 kV Overhead Line — TP-002 Crane (Months 6–11).** The 250t crane operates inside the overhead-line exclusion zone during Hall 3 and Hall 4 erection. PDC-DWG-001 Note 5 requires the network operator's written permission. **Action: Project Manager to confirm DNO permission status before September 2026.**</w:t>
      </w:r>
    </w:p>
    <w:p>
      <w:r>
        <w:t xml:space="preserve">2. **TP-008 Compound Relocation (Month 13, March 2027).** The late-phase external works compound sits on ground currently occupied by parking and offices. The schedule shows EX-1500 building the permanent car park on this ground. The plan resolves this by shifting parking east as headcount naturally drops from 250 to 235 in the commissioning phase, freeing the western ground for TP-008. **Action: confirm the parking relocation sequence with TP-008 at the January 2027 progress meeting.**</w:t>
      </w:r>
    </w:p>
    <w:p>
      <w:r>
        <w:t xml:space="preserve">3. **TP-004 Weathertight Gating (Months 9–11).** TP-004 requires 1,600 m² of external storage until EN-1500/EN-1510 release the halls. If weathertightness slips, the external compound cannot release and compounds scheduled to take that ground (TP-005, TP-006 south-strip compounds) will conflict. **Action: programme team to protect the weathertight dates. Any delay beyond 2 weeks triggers a logistics re-plan under PDC-LOG-001 §11.**</w:t>
      </w:r>
    </w:p>
    <w:p>
      <w:r>
        <w:t xml:space="preserve">4. **TP-002 Abnormal Loads (Months 6–10).** Steel arrives on 18 m trailers that cannot execute a standard turn within the site. The 25 m diameter turning head at the gate provides enough radius for these trailers to turn, but only if the holding lane is clear. The delivery booking system must schedule abnormal loads in dedicated windows when no other vehicles are in the holding lane or turning area.</w:t>
      </w:r>
    </w:p>
    <w:p>
      <w:r>
        <w:t xml:space="preserve">---</w:t>
      </w:r>
    </w:p>
    <w:p>
      <w:pPr>
        <w:pStyle w:val="Heading1"/>
      </w:pPr>
      <w:r>
        <w:rPr>
          <w:b/>
          <w:bCs/>
        </w:rPr>
        <w:t xml:space="preserve">— 8. Compliance with PDC-LOG-001</w:t>
      </w:r>
    </w:p>
    <w:p>
      <w:r>
        <w:t xml:space="preserve">This plan complies with PDC-LOG-001 Rev C in full. Every mandatory element from §3 and §4 is present on every monthly drawing. All sizing follows the standard's rules (§5–§10) without deviation. The five re-plan triggers in §11 are identified in this note, and the plan shows what changes when each trigger fires.</w:t>
      </w:r>
    </w:p>
    <w:p>
      <w:r>
        <w:t xml:space="preserve">---</w:t>
      </w:r>
    </w:p>
    <w:p>
      <w:pPr>
        <w:pStyle w:val="Heading1"/>
      </w:pPr>
      <w:r>
        <w:rPr>
          <w:b/>
          <w:bCs/>
        </w:rPr>
        <w:t xml:space="preserve">— 9. Recommendations</w:t>
      </w:r>
    </w:p>
    <w:p>
      <w:r>
        <w:t xml:space="preserve">1. **Issue this plan to all eight Trade Partners** for comment before the pre-start meeting. Each should confirm their compound is fit for purpose. 2. **Commission the DNO crane permission immediately** — it is the only external dependency that can stop the steel programme. 3. **Implement the delivery booking system before Month 7** (September 2026), when TP-002 steel deliveries begin. 4. **Appoint the Delivery Manager** at the same time. 5. **Schedule the TP-008 relocation meeting for January 2027** to confirm the parking/offices shuffle.</w:t>
      </w:r>
    </w:p>
    <w:p>
      <w:r>
        <w:t xml:space="preserve">---</w:t>
      </w:r>
    </w:p>
    <w:p>
      <w:pPr>
        <w:pStyle w:val="Heading1"/>
      </w:pPr>
      <w:r>
        <w:rPr>
          <w:b/>
          <w:bCs/>
        </w:rPr>
        <w:t xml:space="preserve">— 10. Drawing Register</w:t>
      </w:r>
    </w:p>
    <w:p>
      <w:r>
        <w:t xml:space="preserve">---</w:t>
      </w:r>
    </w:p>
    <w:p>
      <w:r>
        <w:t xml:space="preserve">*This document has been prepared in accordance with PDC-LOG-001 Rev C and is based on the eight baseline programmes TP-001 to TP-008 Rev 0, the PDC-DWG-017 site logistics base plan, and the integrated master schedule dated 1 August 2026.*</w:t>
      </w:r>
    </w:p>
    <w:p>
      <w:r>
        <w:t xml:space="preserve">*SYNTHETIC DEMONSTRATION DATA — NOT A REAL PROJECT*</w:t>
      </w:r>
    </w:p>
    <w:p>
      <w:pPr>
        <w:pStyle w:val="Heading3"/>
      </w:pPr>
      <w:r>
        <w:t xml:space="preserve">— 5. What Moves and When (Key Transitions)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Month</w:t>
            </w:r>
          </w:p>
        </w:tc>
        <w:tc>
          <w:p>
            <w:r>
              <w:t xml:space="preserve">Event</w:t>
            </w:r>
          </w:p>
        </w:tc>
        <w:tc>
          <w:p>
            <w:r>
              <w:t xml:space="preserve">Impact on Site</w:t>
            </w:r>
          </w:p>
        </w:tc>
      </w:tr>
      <w:tr>
        <w:tc>
          <w:p>
            <w:r>
              <w:t xml:space="preserve">**Sep 2026**</w:t>
            </w:r>
          </w:p>
        </w:tc>
        <w:tc>
          <w:p>
            <w:r>
              <w:t xml:space="preserve">TP-001 stockpile draw-down begins</w:t>
            </w:r>
          </w:p>
        </w:tc>
        <w:tc>
          <w:p>
            <w:r>
              <w:t xml:space="preserve">Eastern area releases for other compounds. First compound shuffle.</w:t>
            </w:r>
          </w:p>
        </w:tc>
      </w:tr>
      <w:tr>
        <w:tc>
          <w:p>
            <w:r>
              <w:t xml:space="preserve">**Nov 2026**</w:t>
            </w:r>
          </w:p>
        </w:tc>
        <w:tc>
          <w:p>
            <w:r>
              <w:t xml:space="preserve">TP-004 arrives; DH2 cladding starts</w:t>
            </w:r>
          </w:p>
        </w:tc>
        <w:tc>
          <w:p>
            <w:r>
              <w:t xml:space="preserve">External storage demand jumps by 1,200 m². All four halls still open.</w:t>
            </w:r>
          </w:p>
        </w:tc>
      </w:tr>
      <w:tr>
        <w:tc>
          <w:p>
            <w:r>
              <w:t xml:space="preserve">**Feb 2027**</w:t>
            </w:r>
          </w:p>
        </w:tc>
        <w:tc>
          <w:p>
            <w:r>
              <w:t xml:space="preserve">TP-002 crane demob (26 Feb)</w:t>
            </w:r>
          </w:p>
        </w:tc>
        <w:tc>
          <w:p>
            <w:r>
              <w:t xml:space="preserve">Crane hardstanding released. Steel compound shrinks from 900 to 300 m².</w:t>
            </w:r>
          </w:p>
        </w:tc>
      </w:tr>
      <w:tr>
        <w:tc>
          <w:p>
            <w:r>
              <w:t xml:space="preserve">**Mar 2027**</w:t>
            </w:r>
          </w:p>
        </w:tc>
        <w:tc>
          <w:p>
            <w:r>
              <w:t xml:space="preserve">TP-004 moves indoors (weathertight achieved)</w:t>
            </w:r>
          </w:p>
        </w:tc>
        <w:tc>
          <w:p>
            <w:r>
              <w:t xml:space="preserve">**Largest release of external space in the programme.** ~1,600 m² freed. TP-008 late phase takes over vacated ground.</w:t>
            </w:r>
          </w:p>
        </w:tc>
      </w:tr>
      <w:tr>
        <w:tc>
          <w:p>
            <w:r>
              <w:t xml:space="preserve">**Mar 2027**</w:t>
            </w:r>
          </w:p>
        </w:tc>
        <w:tc>
          <w:p>
            <w:r>
              <w:t xml:space="preserve">TP-008 late phase compound placed</w:t>
            </w:r>
          </w:p>
        </w:tc>
        <w:tc>
          <w:p>
            <w:r>
              <w:t xml:space="preserve">Parking and welfare footprint must shift — compound sits on future permanent car park ground.</w:t>
            </w:r>
          </w:p>
        </w:tc>
      </w:tr>
    </w:tbl>
    <w:p>
      <w:pPr>
        <w:pStyle w:val="Heading3"/>
      </w:pPr>
      <w:r>
        <w:t xml:space="preserve">— 10. Drawing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Drawing No.</w:t>
            </w:r>
          </w:p>
        </w:tc>
        <w:tc>
          <w:p>
            <w:r>
              <w:t xml:space="preserve">Month</w:t>
            </w:r>
          </w:p>
        </w:tc>
        <w:tc>
          <w:p>
            <w:r>
              <w:t xml:space="preserve">Peak Ops/Staff</w:t>
            </w:r>
          </w:p>
        </w:tc>
        <w:tc>
          <w:p>
            <w:r>
              <w:t xml:space="preserve">Key Event</w:t>
            </w:r>
          </w:p>
        </w:tc>
      </w:tr>
      <w:tr>
        <w:tc>
          <w:p>
            <w:r>
              <w:t xml:space="preserve">PDC-LOG-002-M01</w:t>
            </w:r>
          </w:p>
        </w:tc>
        <w:tc>
          <w:p>
            <w:r>
              <w:t xml:space="preserve">Mar 2026</w:t>
            </w:r>
          </w:p>
        </w:tc>
        <w:tc>
          <w:p>
            <w:r>
              <w:t xml:space="preserve">20 / 12</w:t>
            </w:r>
          </w:p>
        </w:tc>
        <w:tc>
          <w:p>
            <w:r>
              <w:t xml:space="preserve">Mobilisation. TP-001 stockpile begins.</w:t>
            </w:r>
          </w:p>
        </w:tc>
      </w:tr>
      <w:tr>
        <w:tc>
          <w:p>
            <w:r>
              <w:t xml:space="preserve">PDC-LOG-002-M02</w:t>
            </w:r>
          </w:p>
        </w:tc>
        <w:tc>
          <w:p>
            <w:r>
              <w:t xml:space="preserve">Apr 2026</w:t>
            </w:r>
          </w:p>
        </w:tc>
        <w:tc>
          <w:p>
            <w:r>
              <w:t xml:space="preserve">40 / 15</w:t>
            </w:r>
          </w:p>
        </w:tc>
        <w:tc>
          <w:p>
            <w:r>
              <w:t xml:space="preserve">Earthworks full. TP-002/005/006 arrive.</w:t>
            </w:r>
          </w:p>
        </w:tc>
      </w:tr>
      <w:tr>
        <w:tc>
          <w:p>
            <w:r>
              <w:t xml:space="preserve">PDC-LOG-002-M03</w:t>
            </w:r>
          </w:p>
        </w:tc>
        <w:tc>
          <w:p>
            <w:r>
              <w:t xml:space="preserve">May 2026</w:t>
            </w:r>
          </w:p>
        </w:tc>
        <w:tc>
          <w:p>
            <w:r>
              <w:t xml:space="preserve">50 / 18</w:t>
            </w:r>
          </w:p>
        </w:tc>
        <w:tc>
          <w:p>
            <w:r>
              <w:t xml:space="preserve">Stockpile peak (4,200 m²). Blasting.</w:t>
            </w:r>
          </w:p>
        </w:tc>
      </w:tr>
      <w:tr>
        <w:tc>
          <w:p>
            <w:r>
              <w:t xml:space="preserve">PDC-LOG-002-M04</w:t>
            </w:r>
          </w:p>
        </w:tc>
        <w:tc>
          <w:p>
            <w:r>
              <w:t xml:space="preserve">Jun 2026</w:t>
            </w:r>
          </w:p>
        </w:tc>
        <w:tc>
          <w:p>
            <w:r>
              <w:t xml:space="preserve">65 / 20</w:t>
            </w:r>
          </w:p>
        </w:tc>
        <w:tc>
          <w:p>
            <w:r>
              <w:t xml:space="preserve">DH1 piling begins. Gatehouse/substation.</w:t>
            </w:r>
          </w:p>
        </w:tc>
      </w:tr>
      <w:tr>
        <w:tc>
          <w:p>
            <w:r>
              <w:t xml:space="preserve">PDC-LOG-002-M05</w:t>
            </w:r>
          </w:p>
        </w:tc>
        <w:tc>
          <w:p>
            <w:r>
              <w:t xml:space="preserve">Jul 2026</w:t>
            </w:r>
          </w:p>
        </w:tc>
        <w:tc>
          <w:p>
            <w:r>
              <w:t xml:space="preserve">85 / 22</w:t>
            </w:r>
          </w:p>
        </w:tc>
        <w:tc>
          <w:p>
            <w:r>
              <w:t xml:space="preserve">DH2 piling. Cooling spine.</w:t>
            </w:r>
          </w:p>
        </w:tc>
      </w:tr>
      <w:tr>
        <w:tc>
          <w:p>
            <w:r>
              <w:t xml:space="preserve">PDC-LOG-002-M06</w:t>
            </w:r>
          </w:p>
        </w:tc>
        <w:tc>
          <w:p>
            <w:r>
              <w:t xml:space="preserve">Aug 2026</w:t>
            </w:r>
          </w:p>
        </w:tc>
        <w:tc>
          <w:p>
            <w:r>
              <w:t xml:space="preserve">100 / 24</w:t>
            </w:r>
          </w:p>
        </w:tc>
        <w:tc>
          <w:p>
            <w:r>
              <w:t xml:space="preserve">DH3-DH4 piling. TP-003 arrives. Crane mobilises.</w:t>
            </w:r>
          </w:p>
        </w:tc>
      </w:tr>
      <w:tr>
        <w:tc>
          <w:p>
            <w:r>
              <w:t xml:space="preserve">PDC-LOG-002-M07</w:t>
            </w:r>
          </w:p>
        </w:tc>
        <w:tc>
          <w:p>
            <w:r>
              <w:t xml:space="preserve">Sep 2026</w:t>
            </w:r>
          </w:p>
        </w:tc>
        <w:tc>
          <w:p>
            <w:r>
              <w:t xml:space="preserve">130 / 26</w:t>
            </w:r>
          </w:p>
        </w:tc>
        <w:tc>
          <w:p>
            <w:r>
              <w:t xml:space="preserve">DH2 steel erection. Stockpile drawing down.</w:t>
            </w:r>
          </w:p>
        </w:tc>
      </w:tr>
      <w:tr>
        <w:tc>
          <w:p>
            <w:r>
              <w:t xml:space="preserve">PDC-LOG-002-M08</w:t>
            </w:r>
          </w:p>
        </w:tc>
        <w:tc>
          <w:p>
            <w:r>
              <w:t xml:space="preserve">Oct 2026</w:t>
            </w:r>
          </w:p>
        </w:tc>
        <w:tc>
          <w:p>
            <w:r>
              <w:t xml:space="preserve">155 / 28</w:t>
            </w:r>
          </w:p>
        </w:tc>
        <w:tc>
          <w:p>
            <w:r>
              <w:t xml:space="preserve">DH3-DH4 steel. Chiller install. TP-004 arrives.</w:t>
            </w:r>
          </w:p>
        </w:tc>
      </w:tr>
      <w:tr>
        <w:tc>
          <w:p>
            <w:r>
              <w:t xml:space="preserve">PDC-LOG-002-M09</w:t>
            </w:r>
          </w:p>
        </w:tc>
        <w:tc>
          <w:p>
            <w:r>
              <w:t xml:space="preserve">Nov 2026</w:t>
            </w:r>
          </w:p>
        </w:tc>
        <w:tc>
          <w:p>
            <w:r>
              <w:t xml:space="preserve">180 / 28</w:t>
            </w:r>
          </w:p>
        </w:tc>
        <w:tc>
          <w:p>
            <w:r>
              <w:t xml:space="preserve">All-hall steel. DH2 cladding. TFMR/GEN install.</w:t>
            </w:r>
          </w:p>
        </w:tc>
      </w:tr>
      <w:tr>
        <w:tc>
          <w:p>
            <w:r>
              <w:t xml:space="preserve">PDC-LOG-002-M10</w:t>
            </w:r>
          </w:p>
        </w:tc>
        <w:tc>
          <w:p>
            <w:r>
              <w:t xml:space="preserve">Dec 2026</w:t>
            </w:r>
          </w:p>
        </w:tc>
        <w:tc>
          <w:p>
            <w:r>
              <w:t xml:space="preserve">210 / 28</w:t>
            </w:r>
          </w:p>
        </w:tc>
        <w:tc>
          <w:p>
            <w:r>
              <w:t xml:space="preserve">Upper steel all halls. TP-004 peak (1,600 m²). TP-007 arrives.</w:t>
            </w:r>
          </w:p>
        </w:tc>
      </w:tr>
      <w:tr>
        <w:tc>
          <w:p>
            <w:r>
              <w:t xml:space="preserve">PDC-LOG-002-M11</w:t>
            </w:r>
          </w:p>
        </w:tc>
        <w:tc>
          <w:p>
            <w:r>
              <w:t xml:space="preserve">Jan 2027</w:t>
            </w:r>
          </w:p>
        </w:tc>
        <w:tc>
          <w:p>
            <w:r>
              <w:t xml:space="preserve">230 / 28</w:t>
            </w:r>
          </w:p>
        </w:tc>
        <w:tc>
          <w:p>
            <w:r>
              <w:t xml:space="preserve">MEP peak. DH2 CRAH/elec active.</w:t>
            </w:r>
          </w:p>
        </w:tc>
      </w:tr>
      <w:tr>
        <w:tc>
          <w:p>
            <w:r>
              <w:t xml:space="preserve">PDC-LOG-002-M12</w:t>
            </w:r>
          </w:p>
        </w:tc>
        <w:tc>
          <w:p>
            <w:r>
              <w:t xml:space="preserve">Feb 2027</w:t>
            </w:r>
          </w:p>
        </w:tc>
        <w:tc>
          <w:p>
            <w:r>
              <w:t xml:space="preserve">**250 / 28 PEAK**</w:t>
            </w:r>
          </w:p>
        </w:tc>
        <w:tc>
          <w:p>
            <w:r>
              <w:t xml:space="preserve">All trades active. Crane demobs 26 Feb.</w:t>
            </w:r>
          </w:p>
        </w:tc>
      </w:tr>
      <w:tr>
        <w:tc>
          <w:p>
            <w:r>
              <w:t xml:space="preserve">PDC-LOG-002-M13</w:t>
            </w:r>
          </w:p>
        </w:tc>
        <w:tc>
          <w:p>
            <w:r>
              <w:t xml:space="preserve">Mar 2027</w:t>
            </w:r>
          </w:p>
        </w:tc>
        <w:tc>
          <w:p>
            <w:r>
              <w:t xml:space="preserve">235 / 26</w:t>
            </w:r>
          </w:p>
        </w:tc>
        <w:tc>
          <w:p>
            <w:r>
              <w:t xml:space="preserve">TP-004 moves inside. TP-008 late phase. Relocation.</w:t>
            </w:r>
          </w:p>
        </w:tc>
      </w:tr>
      <w:tr>
        <w:tc>
          <w:p>
            <w:r>
              <w:t xml:space="preserve">PDC-LOG-002-M14</w:t>
            </w:r>
          </w:p>
        </w:tc>
        <w:tc>
          <w:p>
            <w:r>
              <w:t xml:space="preserve">Apr 2027</w:t>
            </w:r>
          </w:p>
        </w:tc>
        <w:tc>
          <w:p>
            <w:r>
              <w:t xml:space="preserve">200 / 24</w:t>
            </w:r>
          </w:p>
        </w:tc>
        <w:tc>
          <w:p>
            <w:r>
              <w:t xml:space="preserve">S2 completion. Commissioning full swing.</w:t>
            </w:r>
          </w:p>
        </w:tc>
      </w:tr>
      <w:tr>
        <w:tc>
          <w:p>
            <w:r>
              <w:t xml:space="preserve">PDC-LOG-002-M15</w:t>
            </w:r>
          </w:p>
        </w:tc>
        <w:tc>
          <w:p>
            <w:r>
              <w:t xml:space="preserve">May 2027</w:t>
            </w:r>
          </w:p>
        </w:tc>
        <w:tc>
          <w:p>
            <w:r>
              <w:t xml:space="preserve">150 / 20</w:t>
            </w:r>
          </w:p>
        </w:tc>
        <w:tc>
          <w:p>
            <w:r>
              <w:t xml:space="preserve">S1+S3 completion. External works peak.</w:t>
            </w:r>
          </w:p>
        </w:tc>
      </w:tr>
      <w:tr>
        <w:tc>
          <w:p>
            <w:r>
              <w:t xml:space="preserve">PDC-LOG-002-M16</w:t>
            </w:r>
          </w:p>
        </w:tc>
        <w:tc>
          <w:p>
            <w:r>
              <w:t xml:space="preserve">Jun 2027</w:t>
            </w:r>
          </w:p>
        </w:tc>
        <w:tc>
          <w:p>
            <w:r>
              <w:t xml:space="preserve">80 / 16</w:t>
            </w:r>
          </w:p>
        </w:tc>
        <w:tc>
          <w:p>
            <w:r>
              <w:t xml:space="preserve">Project completion Jun 10. Demobilisation.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2026-08-06T01:02:12.809Z</dcterms:created>
  <dcterms:modified xsi:type="dcterms:W3CDTF">2026-08-06T01:02:12.809Z</dcterms:modified>
</cp:coreProperties>
</file>

<file path=docProps/custom.xml><?xml version="1.0" encoding="utf-8"?>
<Properties xmlns="http://schemas.openxmlformats.org/officeDocument/2006/custom-properties" xmlns:vt="http://schemas.openxmlformats.org/officeDocument/2006/docPropsVTypes"/>
</file>