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Polaris DC-1 — Execution Plan</w:t>
      </w:r>
    </w:p>
    <w:p>
      <w:r>
        <w:rPr>
          <w:i/>
          <w:sz w:val="24"/>
        </w:rPr>
        <w:t>Aviapolis Data Campus, Vantaa · Phase 1 · FIDIC Yellow Book 2017 D&amp;B</w:t>
      </w:r>
    </w:p>
    <w:p>
      <w:r>
        <w:rPr>
          <w:b/>
          <w:i w:val="0"/>
        </w:rPr>
        <w:t>Document: PDC-EP-001 Rev 0</w:t>
      </w:r>
    </w:p>
    <w:p>
      <w:r>
        <w:rPr>
          <w:b w:val="0"/>
          <w:i w:val="0"/>
        </w:rPr>
        <w:t>Prepared for: Polaris DC-1 Board, mobilisation approval</w:t>
      </w:r>
    </w:p>
    <w:p>
      <w:r>
        <w:rPr>
          <w:b w:val="0"/>
          <w:i w:val="0"/>
        </w:rPr>
        <w:t>Prepared by: Project Management Office</w:t>
      </w:r>
    </w:p>
    <w:p>
      <w:r>
        <w:rPr>
          <w:b w:val="0"/>
          <w:i w:val="0"/>
        </w:rPr>
        <w:t>Date: 8 August 2026</w:t>
      </w:r>
    </w:p>
    <w:p>
      <w:r>
        <w:rPr>
          <w:b w:val="0"/>
          <w:i w:val="0"/>
        </w:rPr>
        <w:t>Contract: FIDIC Yellow Book 2017 Design &amp; Build lump sum, Particular Conditions RevC</w:t>
      </w:r>
    </w:p>
    <w:p>
      <w:r>
        <w:rPr>
          <w:b w:val="0"/>
          <w:i w:val="0"/>
        </w:rPr>
        <w:t>Contract Sum: €92,400,000 (BOQ Accepted Contract Amount, PC RevC Part A Item 1.1)</w:t>
      </w:r>
    </w:p>
    <w:p>
      <w:r>
        <w:rPr>
          <w:b w:val="0"/>
          <w:i w:val="0"/>
        </w:rPr>
        <w:t>Commencement Date: 2 March 2026  |  Time for Completion: 22 months (whole of Works)</w:t>
      </w:r>
    </w:p>
    <w:p>
      <w:r>
        <w:rPr>
          <w:b w:val="0"/>
          <w:i/>
          <w:sz w:val="20"/>
        </w:rPr>
        <w:t>(Note: PC RevC says 2 March 2026; baseline schedule uses 1 March 2026 — promoted to live Risk R-16 in the workbook Risk Register.)</w:t>
      </w:r>
    </w:p>
    <w:p>
      <w:pPr>
        <w:pStyle w:val="Heading1"/>
      </w:pPr>
      <w:r>
        <w:rPr>
          <w:color w:val="1F4E78"/>
        </w:rPr>
        <w:t>1. Executive summary</w:t>
      </w:r>
    </w:p>
    <w:p>
      <w:r>
        <w:rPr>
          <w:b w:val="0"/>
          <w:i w:val="0"/>
        </w:rPr>
        <w:t>Polaris DC-1 is a four-data-hall hyperscale campus on the Aviapolis site in Vantaa, delivered under a FIDIC Yellow Book 2017 D&amp;B lump sum contract. The contract is split into four Sections with their own Time for Completion and Delay Damages: DH1 + shared infrastructure (14 months, TfC 2 May 2027), DH2 (16 months, 2 July 2027), DH3 (19 months, 2 October 2027), DH4 + admin/NOC + external works (22 months, 2 January 2028 — whole of the Works). The Accepted Contract Amount is €92.4M; maximum LD exposure is 10% of that = €9.24M.</w:t>
      </w:r>
    </w:p>
    <w:p>
      <w:r>
        <w:rPr>
          <w:b w:val="0"/>
          <w:i w:val="0"/>
        </w:rPr>
        <w:t>Three board asks are packaged in this plan:</w:t>
      </w:r>
    </w:p>
    <w:p>
      <w:pPr>
        <w:pStyle w:val="ListBullet"/>
      </w:pPr>
      <w:r>
        <w:rPr>
          <w:b w:val="0"/>
          <w:i w:val="0"/>
        </w:rPr>
        <w:t>Authorise pre-Commencement procurement of LT-01 transformers (110/20 kV, 16 MVA, 52-week lead). Without it, the Section 1 date is unachievable. (See §4 and Risk R-01.)</w:t>
      </w:r>
    </w:p>
    <w:p>
      <w:pPr>
        <w:pStyle w:val="ListBullet"/>
      </w:pPr>
      <w:r>
        <w:rPr>
          <w:b w:val="0"/>
          <w:i w:val="0"/>
        </w:rPr>
        <w:t>Endorse the sectional completion framework and the four TfCs as the delivery thesis.</w:t>
      </w:r>
    </w:p>
    <w:p>
      <w:pPr>
        <w:pStyle w:val="ListBullet"/>
      </w:pPr>
      <w:r>
        <w:rPr>
          <w:b w:val="0"/>
          <w:i w:val="0"/>
        </w:rPr>
        <w:t>Approve the 10% advance payment (€9.24M) and 10% performance security execution, both supported by the PC RevC.</w:t>
      </w:r>
    </w:p>
    <w:p>
      <w:pPr>
        <w:pStyle w:val="Heading2"/>
      </w:pPr>
      <w:r>
        <w:rPr>
          <w:color w:val="1F4E78"/>
        </w:rPr>
        <w:t>1.1 Headline cash-flow finding</w:t>
      </w:r>
    </w:p>
    <w:p>
      <w:r>
        <w:rPr>
          <w:b w:val="0"/>
          <w:i w:val="0"/>
        </w:rPr>
        <w:t>The base case (45d employer payment, 45d sub payment, 10% advance paid at Commencement per PC RevC SP-11) requires NO working-capital facility. The tightest point of the cumulative net cash position is a +€4.26M SURPLUS in May 2027 — not a shortfall. A working-capital facility would only be required under the back-to-back sub-payment sensitivity (30d instead of 45d), where the cumulative net drops to −€16.58M in December 2026 — a separate question the board should consider when standardising the subcontract terms across TP-001 to TP-008. See §9 for the full cash-flow discussion.</w:t>
      </w:r>
    </w:p>
    <w:p>
      <w:pPr>
        <w:pStyle w:val="Heading1"/>
      </w:pPr>
      <w:r>
        <w:rPr>
          <w:color w:val="1F4E78"/>
        </w:rPr>
        <w:t>2. Project context</w:t>
      </w:r>
    </w:p>
    <w:p>
      <w:r>
        <w:rPr>
          <w:b w:val="0"/>
          <w:i w:val="0"/>
        </w:rPr>
        <w:t>Scope: a 4-hall, ~26,500 m² data campus with primary substation, generator compound, shared cooling spine sized for the full 10 MW IT load, admin/NOC block, gatehouse, external works, security and fibre entry. Delivery is design-and-build lump sum. The Employer (Polaris Digital Infrastructure Oy), the Contractor (NordBuild Oy), and the Engineer (Norvia Consulting Oy) are named in the Particular Conditions.</w:t>
      </w:r>
    </w:p>
    <w:p>
      <w:r>
        <w:rPr>
          <w:b w:val="0"/>
          <w:i w:val="0"/>
        </w:rPr>
        <w:t>Commercial baseline:</w:t>
      </w:r>
    </w:p>
    <w:p>
      <w:pPr>
        <w:pStyle w:val="ListBullet"/>
      </w:pPr>
      <w:r>
        <w:rPr>
          <w:b w:val="0"/>
          <w:i w:val="0"/>
        </w:rPr>
        <w:t>Contract sum: €92,400,000 (BOQ PDC-BOQ-001 Rev A, confirmed by PC RevC Part A Item 1.1)</w:t>
      </w:r>
    </w:p>
    <w:p>
      <w:pPr>
        <w:pStyle w:val="ListBullet"/>
      </w:pPr>
      <w:r>
        <w:rPr>
          <w:b w:val="0"/>
          <w:i w:val="0"/>
        </w:rPr>
        <w:t>Payment: Engineer IPC ≤28d, Employer 45d after IPC (Sub-Clauses 14.6 / 14.7). 5% retention (SP-13). 10% advance (SP-11) PAID AT COMMENCEMENT against guarantee, recovered at 12% per IPC.</w:t>
      </w:r>
    </w:p>
    <w:p>
      <w:pPr>
        <w:pStyle w:val="ListBullet"/>
      </w:pPr>
      <w:r>
        <w:rPr>
          <w:b w:val="0"/>
          <w:i w:val="0"/>
        </w:rPr>
        <w:t>Performance security: 10% on-demand bank guarantee (Part A Item 4.2). No parent company guarantee required.</w:t>
      </w:r>
    </w:p>
    <w:p>
      <w:pPr>
        <w:pStyle w:val="ListBullet"/>
      </w:pPr>
      <w:r>
        <w:rPr>
          <w:b w:val="0"/>
          <w:i w:val="0"/>
        </w:rPr>
        <w:t>Limit of liability: capped at contract sum, with carve-outs for death/injury, fraud, wilful misconduct, abandonment, insurance proceeds (Sub-Clause 1.15 + SP-3).</w:t>
      </w:r>
    </w:p>
    <w:p>
      <w:pPr>
        <w:pStyle w:val="ListBullet"/>
      </w:pPr>
      <w:r>
        <w:rPr>
          <w:b w:val="0"/>
          <w:i w:val="0"/>
        </w:rPr>
        <w:t>Insurance: PI €10M each and every claim, 6 years after last TOC; TPL €5M per occurrence unlimited aggregate (Part A Items 19.2.3 / 19.2.4).</w:t>
      </w:r>
    </w:p>
    <w:p>
      <w:r>
        <w:rPr>
          <w:b w:val="0"/>
          <w:i w:val="0"/>
        </w:rPr>
        <w:t>BOQ ↔ cost-loading reconciliation (see Appendix A): the planner's cost-loaded baseline (Schedule Table col M) sums to €82,970,863 (verified by summing every numeric value in 133 rows; 6 milestone/hold rows excluded); the BOQ is €92,400,000. The €9.43M gap is a structural shift — the cost loading is a labour + install view (its 22 Resource Groups are crews), while the BOQ carries full equipment supply in Sections F (mechanical), G (electrical) and H (ELV). See §11 and Appendix A. Row-level audit of the 133 summed rows is in the workbook (Audit — Cost Loading sheet).</w:t>
      </w:r>
    </w:p>
    <w:p>
      <w:pPr>
        <w:pStyle w:val="Heading1"/>
      </w:pPr>
      <w:r>
        <w:rPr>
          <w:color w:val="1F4E78"/>
        </w:rPr>
        <w:t>3. Sequence and phasing — sectional completion</w:t>
      </w:r>
    </w:p>
    <w:p>
      <w:r>
        <w:rPr>
          <w:b w:val="0"/>
          <w:i w:val="0"/>
        </w:rPr>
        <w:t>The four Sections are not just contractual milestones — they are the entire delivery thesis. Each Section has its own Time for Completion, its own Delay Damages rate, and its own physical scope. The TfCs build cumulatively: Section 1 includes everything the other halls depend on.</w:t>
      </w:r>
    </w:p>
    <w:p>
      <w:pPr>
        <w:pStyle w:val="Heading2"/>
      </w:pPr>
      <w:r>
        <w:rPr>
          <w:color w:val="1F4E78"/>
        </w:rPr>
        <w:t>Section 1 — TfC 14 months — completion 2 May 2027</w:t>
      </w:r>
    </w:p>
    <w:p>
      <w:r>
        <w:rPr>
          <w:b w:val="0"/>
          <w:i w:val="0"/>
        </w:rPr>
        <w:t>Scope: Data Hall 1, primary substation, generator compound (8 × 2.5 MVA standby sets), shared cooling spine sized for the full 10 MW IT load, site access from Tikkurilantie, gatehouse.</w:t>
      </w:r>
    </w:p>
    <w:p>
      <w:r>
        <w:rPr>
          <w:b w:val="0"/>
          <w:i w:val="0"/>
        </w:rPr>
        <w:t>Critical-path drivers: the 110 kV grid energisation (MS-09) on 12 March 2027; the 110/20 kV transformer procurement (LT-01, 52-week lead, −6.4 weeks float); the shared cooling spine; the L1–L5 commissioning sequence (MS-11 to MS-13). LD/day: €18,000 (highest of the four Sections).</w:t>
      </w:r>
    </w:p>
    <w:p>
      <w:r>
        <w:rPr>
          <w:b w:val="0"/>
          <w:i w:val="0"/>
        </w:rPr>
        <w:t>Cost-loading profile: cost-loaded work for Section 1 runs to approximately €44.8M (work-done basis, incl. pro-rated prelims); BOQ EV for Section 1 ≈ €36.8M (lower because Section 1's BOQ value is concentrated in equipment supply that lands in cost-loaded Section 6 equipment install).</w:t>
      </w:r>
    </w:p>
    <w:p>
      <w:r>
        <w:rPr>
          <w:b w:val="0"/>
          <w:i w:val="0"/>
        </w:rPr>
        <w:t>Commencement date note: all Section dates key off 2 March 2026 (PC RevC). The planner's baseline schedule currently uses 1 March 2026 — promoted to live Risk R-16 in the workbook Risk Register. Action: planner to align baseline with PC date before execution.</w:t>
      </w:r>
    </w:p>
    <w:p>
      <w:pPr>
        <w:pStyle w:val="Heading2"/>
      </w:pPr>
      <w:r>
        <w:rPr>
          <w:color w:val="1F4E78"/>
        </w:rPr>
        <w:t>Section 2 — TfC 16 months — completion 2 July 2027</w:t>
      </w:r>
    </w:p>
    <w:p>
      <w:r>
        <w:rPr>
          <w:b w:val="0"/>
          <w:i w:val="0"/>
        </w:rPr>
        <w:t>Scope: Data Hall 2 + associated plant. Critical-path drivers: structural steel erection (LT-11), envelope completion, CRAH install (LT-09), commissioning. LD/day: €12,000.</w:t>
      </w:r>
    </w:p>
    <w:p>
      <w:pPr>
        <w:pStyle w:val="Heading2"/>
      </w:pPr>
      <w:r>
        <w:rPr>
          <w:color w:val="1F4E78"/>
        </w:rPr>
        <w:t>Section 3 — TfC 19 months — completion 2 October 2027</w:t>
      </w:r>
    </w:p>
    <w:p>
      <w:r>
        <w:rPr>
          <w:b w:val="0"/>
          <w:i w:val="0"/>
        </w:rPr>
        <w:t>Scope: Data Hall 3 + associated plant. Critical-path drivers: parallel hall-3 build following the Section 2 pattern; waste-heat-recovery plant commissioning tied to the heating season (Oct–Apr only, MS-17). LD/day: €12,000.</w:t>
      </w:r>
    </w:p>
    <w:p>
      <w:pPr>
        <w:pStyle w:val="Heading2"/>
      </w:pPr>
      <w:r>
        <w:rPr>
          <w:color w:val="1F4E78"/>
        </w:rPr>
        <w:t>Section 4 — TfC 22 months — completion 2 January 2028 (whole of Works)</w:t>
      </w:r>
    </w:p>
    <w:p>
      <w:r>
        <w:rPr>
          <w:b w:val="0"/>
          <w:i w:val="0"/>
        </w:rPr>
        <w:t>Scope: Data Hall 4 + admin/NOC block + external works + landscaping. Critical-path drivers: external works after Section 3 completion; permanent car park (Sep–Oct 2027) on the temporary staff-parking footprint, which forces a compound-move sequence (R-04). LD/day: €10,000.</w:t>
      </w:r>
    </w:p>
    <w:p>
      <w:r>
        <w:rPr>
          <w:b/>
          <w:i w:val="0"/>
        </w:rPr>
        <w:t>Sectional Completion &amp; Delay Damages summary (per PDC-SC-001 Rev C, executed):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320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1440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TfC (mo)</w:t>
            </w:r>
          </w:p>
        </w:tc>
        <w:tc>
          <w:tcPr>
            <w:tcW w:type="dxa" w:w="2016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Completion date</w:t>
            </w:r>
          </w:p>
        </w:tc>
        <w:tc>
          <w:tcPr>
            <w:tcW w:type="dxa" w:w="1728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LD/day (€)</w:t>
            </w:r>
          </w:p>
        </w:tc>
        <w:tc>
          <w:tcPr>
            <w:tcW w:type="dxa" w:w="2016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LD/week (€)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 — DH1 + substation + shared cooling spine + gatehouse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 May 2027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18,000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126,000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 — DH2 + plant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 Jul 2027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12,000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84,000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 — DH3 + plant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 Oct 2027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12,000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84,000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4 — DH4 + admin/NOC + external works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 Jan 2028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10,000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70,000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AGGREGATE CAP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9,240,000</w:t>
            </w:r>
          </w:p>
        </w:tc>
      </w:tr>
    </w:tbl>
    <w:p>
      <w:pPr>
        <w:pStyle w:val="Heading1"/>
      </w:pPr>
      <w:r>
        <w:rPr>
          <w:color w:val="1F4E78"/>
        </w:rPr>
        <w:t>4. Long-lead procurement</w:t>
      </w:r>
    </w:p>
    <w:p>
      <w:r>
        <w:rPr>
          <w:b w:val="0"/>
          <w:i w:val="0"/>
        </w:rPr>
        <w:t>The procurement lead-time register (PDC-LT-001 Rev A) identifies 15 long-lead items. Order-by dates are back-calculated from the need-on-site date against the Commencement Date of 2 March 2026. One item carries NEGATIVE FLOAT — see below.</w:t>
      </w:r>
    </w:p>
    <w:p>
      <w:r>
        <w:rPr>
          <w:b/>
          <w:i w:val="0"/>
        </w:rPr>
        <w:t>⚠ LT-01 — 110/20 kV transformers (2 nr, 16 MVA, TP-006): 52-week lead, need on site 15 January 2027, order by 16 January 2026, FLOAT −6.4 WEEKS. Without a pre-Commencement order under letter of intent, or a formal advance procurement instruction in the contract, Section 1 (TfC 2 May 2027) is unachievable. This is the single biggest live issue for the board. (Risk R-01.)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20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Ref</w:t>
            </w:r>
          </w:p>
        </w:tc>
        <w:tc>
          <w:tcPr>
            <w:tcW w:type="dxa" w:w="720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Pkg</w:t>
            </w:r>
          </w:p>
        </w:tc>
        <w:tc>
          <w:tcPr>
            <w:tcW w:type="dxa" w:w="3456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Equipment</w:t>
            </w:r>
          </w:p>
        </w:tc>
        <w:tc>
          <w:tcPr>
            <w:tcW w:type="dxa" w:w="1008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Lead (wks)</w:t>
            </w:r>
          </w:p>
        </w:tc>
        <w:tc>
          <w:tcPr>
            <w:tcW w:type="dxa" w:w="1296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Need on site</w:t>
            </w:r>
          </w:p>
        </w:tc>
        <w:tc>
          <w:tcPr>
            <w:tcW w:type="dxa" w:w="1296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Order by</w:t>
            </w:r>
          </w:p>
        </w:tc>
        <w:tc>
          <w:tcPr>
            <w:tcW w:type="dxa" w:w="1008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Float (wks)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LT-01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TP-006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110/20 kV transformers (2 nr, 16 MVA)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52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2027-01-15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2026-01-16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−6.4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LT-02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TP-006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20 kV switchgear + protection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38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2027-01-29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2026-05-08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+9.6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LT-03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TP-006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Standby generators (8 nr, 2.5 MVA)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2027-02-12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2026-05-08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+9.6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LT-04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TP-006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UPS modules (16 nr, 1000 kVA)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2027-02-26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2026-07-31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+21.6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LT-05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TP-006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Battery systems (Li-ion)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2027-03-12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2026-09-25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+29.6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LT-06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TP-006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Overhead busway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2027-03-05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2026-10-16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+32.6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LT-07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TP-005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Chillers (4 nr)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2027-02-05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2026-08-07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+22.6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LT-08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TP-005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Dry coolers / adiabatic (10 nr)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2027-02-19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2026-09-18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+28.6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LT-09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TP-005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CRAH units (28 nr)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2027-03-19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2026-10-16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+32.6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LT-10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TP-005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Waste-heat recovery plant (4 MW)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2027-04-30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2026-10-02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+30.6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LT-11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TP-002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Structural steel fabrication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2026-08-14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2026-04-10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+5.6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LT-12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TP-002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Precast concrete wall panels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2026-09-11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2026-05-22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+11.6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LT-13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TP-003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Acoustic louvres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2027-01-08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2026-09-18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+28.6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LT-14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TP-007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BMS/DCIM hardware and licences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2027-04-02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2026-12-11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+40.6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LT-15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TP-007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Suppression system (data halls)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2027-03-26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2026-11-06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+35.6</w:t>
            </w:r>
          </w:p>
        </w:tc>
      </w:tr>
    </w:tbl>
    <w:p>
      <w:pPr>
        <w:pStyle w:val="Heading1"/>
      </w:pPr>
      <w:r>
        <w:rPr>
          <w:color w:val="1F4E78"/>
        </w:rPr>
        <w:t>5. Site set-up</w:t>
      </w:r>
    </w:p>
    <w:p>
      <w:r>
        <w:rPr>
          <w:b w:val="0"/>
          <w:i w:val="0"/>
        </w:rPr>
        <w:t>Per PDC-LOG-001 (company standard, sizing tables) and the per-package baselines and PDC-DWG-017 site logistics plan:</w:t>
      </w:r>
    </w:p>
    <w:p>
      <w:pPr>
        <w:pStyle w:val="ListBullet"/>
      </w:pPr>
      <w:r>
        <w:rPr>
          <w:b w:val="0"/>
          <w:i w:val="0"/>
        </w:rPr>
        <w:t>Site establishment is sized for a peak of ~250 operatives and 28 staff: offices 224 m², canteen 150 m², drying/changing 125 m², WCs 10, basins 13, first-aid 40 m²; total ≈600 m² net / ≈380 m² two-storey footprint; must sit within 200 m of the working face (else satellite welfare needed).</w:t>
      </w:r>
    </w:p>
    <w:p>
      <w:pPr>
        <w:pStyle w:val="ListBullet"/>
      </w:pPr>
      <w:r>
        <w:rPr>
          <w:b w:val="0"/>
          <w:i w:val="0"/>
        </w:rPr>
        <w:t>Parking: 1 space per 2.5 operatives at 25 m²/space incl. aisles; 6 visitor spaces outside the secure line; segregated footpath to welfare.</w:t>
      </w:r>
    </w:p>
    <w:p>
      <w:pPr>
        <w:pStyle w:val="ListBullet"/>
      </w:pPr>
      <w:r>
        <w:rPr>
          <w:b w:val="0"/>
          <w:i w:val="0"/>
        </w:rPr>
        <w:t>One vehicular gate (Tikkurilantie) — every package depends on it. GW-1010 establishes the gate (PDC-SCH-001).</w:t>
      </w:r>
    </w:p>
    <w:p>
      <w:pPr>
        <w:pStyle w:val="ListBullet"/>
      </w:pPr>
      <w:r>
        <w:rPr>
          <w:b w:val="0"/>
          <w:i w:val="0"/>
        </w:rPr>
        <w:t>Single 250 t mobile crane working east along the halls; 600–900 m² laydown per hall (30×20 m standing plus clear radius).</w:t>
      </w:r>
    </w:p>
    <w:p>
      <w:pPr>
        <w:pStyle w:val="ListBullet"/>
      </w:pPr>
      <w:r>
        <w:rPr>
          <w:b w:val="0"/>
          <w:i w:val="0"/>
        </w:rPr>
        <w:t>Peak muck-away 18–22 lorry movements per day through the single gate (GW-1100); wheel wash required at the earthworks exit.</w:t>
      </w:r>
    </w:p>
    <w:p>
      <w:pPr>
        <w:pStyle w:val="ListBullet"/>
      </w:pPr>
      <w:r>
        <w:rPr>
          <w:b w:val="0"/>
          <w:i w:val="0"/>
        </w:rPr>
        <w:t>Bulk-earthworks stockpile (Kallio 4,200 m² peak laydown) is the single biggest area constraint on the plot.</w:t>
      </w:r>
    </w:p>
    <w:p>
      <w:pPr>
        <w:pStyle w:val="ListBullet"/>
      </w:pPr>
      <w:r>
        <w:rPr>
          <w:b w:val="0"/>
          <w:i w:val="0"/>
        </w:rPr>
        <w:t>Permanent car park (EX-1500, Sep–Oct 2027) is built on the temporary staff parking footprint — compound must move first. (Risk R-04.)</w:t>
      </w:r>
    </w:p>
    <w:p>
      <w:pPr>
        <w:pStyle w:val="ListBullet"/>
      </w:pPr>
      <w:r>
        <w:rPr>
          <w:b w:val="0"/>
          <w:i w:val="0"/>
        </w:rPr>
        <w:t>110 kV overhead line crosses the plot — DNO written permission required before ST-1310 precast at the substation. (Risk R-03.)</w:t>
      </w:r>
    </w:p>
    <w:p>
      <w:pPr>
        <w:pStyle w:val="ListBullet"/>
      </w:pPr>
      <w:r>
        <w:rPr>
          <w:b w:val="0"/>
          <w:i w:val="0"/>
        </w:rPr>
        <w:t>Working restrictions per PDC-PP-001: blasting 08:00–18:00 Mon–Fri; generator testing 09:00–16:00 Mon–Fri; night-time noise 45 dB(A) at NE boundary.</w:t>
      </w:r>
    </w:p>
    <w:p>
      <w:pPr>
        <w:pStyle w:val="Heading1"/>
      </w:pPr>
      <w:r>
        <w:rPr>
          <w:color w:val="1F4E78"/>
        </w:rPr>
        <w:t>6. Package interfaces</w:t>
      </w:r>
    </w:p>
    <w:p>
      <w:r>
        <w:rPr>
          <w:b w:val="0"/>
          <w:i w:val="0"/>
        </w:rPr>
        <w:t>Eight tender packages (TP-001 through TP-008) plus main-contract prelims and commissioning. Interfaces and sequencing:</w:t>
      </w:r>
    </w:p>
    <w:p>
      <w:r>
        <w:rPr>
          <w:b w:val="0"/>
          <w:i w:val="0"/>
        </w:rPr>
        <w:t>TP-001 Earthworks &amp; Substructure — Bulk earthworks (rock excavation by blasting, glacial till) and piling. Driven by Section 1 — must be substantially complete before structural steel erection (TP-002) and the substation pad foundations. Permits and pre-condition surveys gate the work.</w:t>
      </w:r>
    </w:p>
    <w:p>
      <w:r>
        <w:rPr>
          <w:b w:val="0"/>
          <w:i w:val="0"/>
        </w:rPr>
        <w:t>TP-002 Structural Steel &amp; Precast — Steel frame (65 kg/m²), steel to MEP spine, mezzanine and plant support steelwork, precast wall panels (2 h fire rating between halls). LT-11 (18 wks) is the critical path.</w:t>
      </w:r>
    </w:p>
    <w:p>
      <w:r>
        <w:rPr>
          <w:b w:val="0"/>
          <w:i w:val="0"/>
        </w:rPr>
        <w:t>TP-003 Envelope — Cladding, roofing, acoustic louvres. Cannot start until TP-002 has handed over zones weathertight. LT-13 (16 wks) has 28.6 wks float — not critical.</w:t>
      </w:r>
    </w:p>
    <w:p>
      <w:r>
        <w:rPr>
          <w:b w:val="0"/>
          <w:i w:val="0"/>
        </w:rPr>
        <w:t>TP-004 Architectural Finishes &amp; Data Hall Containment — Raised access, fire-rated partitions, finishes. Phased per hall after envelope. Heavy coordination with TP-005 (MEP rough-in) and TP-006 (electrical containment).</w:t>
      </w:r>
    </w:p>
    <w:p>
      <w:r>
        <w:rPr>
          <w:b w:val="0"/>
          <w:i w:val="0"/>
        </w:rPr>
        <w:t>TP-005 Mechanical — Chillers, dry coolers, CRAH units, waste-heat recovery plant, pipework. Critical-path equipment (LT-07 to LT-10). WHR plant commissioning tied to the heating season Oct–Apr (MS-17).</w:t>
      </w:r>
    </w:p>
    <w:p>
      <w:r>
        <w:rPr>
          <w:b w:val="0"/>
          <w:i w:val="0"/>
        </w:rPr>
        <w:t>TP-006 Electrical — HV/MV, transformers (LT-01, the critical item), switchgear, generators, UPS, busway. Critical-path; LT-01 is the binding constraint.</w:t>
      </w:r>
    </w:p>
    <w:p>
      <w:r>
        <w:rPr>
          <w:b w:val="0"/>
          <w:i w:val="0"/>
        </w:rPr>
        <w:t>TP-007 ELV, BMS/DCIM, Fire Detection &amp; Suppression — Open-protocol BACnet/IP BMS; suppression system subject to fire-engine approval (LT-15).</w:t>
      </w:r>
    </w:p>
    <w:p>
      <w:r>
        <w:rPr>
          <w:b w:val="0"/>
          <w:i w:val="0"/>
        </w:rPr>
        <w:t>TP-008 External Works, Security &amp; Fibre Entry — Perimeter fencing, security, fibre entry. Mostly Section 4 work, but the early fibre entry and security mast must be in place before any DNO commissioning.</w:t>
      </w:r>
    </w:p>
    <w:p>
      <w:r>
        <w:rPr>
          <w:b w:val="0"/>
          <w:i w:val="0"/>
        </w:rPr>
        <w:t>Commissioning — Main-contract L1–L5 (per BOQ Section J): L1 factory acceptance, L2 site acceptance, L3 pre-integration, L4 integrated systems testing (MS-11, Month 13), L5 24 h load-bank test (MS-12, Month 14).</w:t>
      </w:r>
    </w:p>
    <w:p>
      <w:pPr>
        <w:pStyle w:val="Heading1"/>
      </w:pPr>
      <w:r>
        <w:rPr>
          <w:color w:val="1F4E78"/>
        </w:rPr>
        <w:t>7. Commercial terms that affect delivery</w:t>
      </w:r>
    </w:p>
    <w:p>
      <w:pPr>
        <w:pStyle w:val="ListBullet"/>
      </w:pPr>
      <w:r>
        <w:rPr>
          <w:b w:val="0"/>
          <w:i w:val="0"/>
        </w:rPr>
        <w:t>Advance payment 10% (€9.24M) — PAID AT COMMENCEMENT against advance payment guarantee (SP-11); recovered at 12% per IPC. Provides early cash-flow bridge for mobilisation, design and the first wave of long-lead procurement.</w:t>
      </w:r>
    </w:p>
    <w:p>
      <w:pPr>
        <w:pStyle w:val="ListBullet"/>
      </w:pPr>
      <w:r>
        <w:rPr>
          <w:b w:val="0"/>
          <w:i w:val="0"/>
        </w:rPr>
        <w:t>Retention 5% per IPC, half released on Section 1 TOC, balance on Section 4 TOC (SP-13). Creates a working-capital tail of €4.62M held until Section 4 in January 2028.</w:t>
      </w:r>
    </w:p>
    <w:p>
      <w:pPr>
        <w:pStyle w:val="ListBullet"/>
      </w:pPr>
      <w:r>
        <w:rPr>
          <w:b w:val="0"/>
          <w:i w:val="0"/>
        </w:rPr>
        <w:t>Sectional Delay Damages: €18k / €12k / €12k / €10k per day for Sections 1–4 (max €126k / €84k / €84k / €70k per week). Aggregate cap 10% of contract sum = €9.24M.</w:t>
      </w:r>
    </w:p>
    <w:p>
      <w:pPr>
        <w:pStyle w:val="ListBullet"/>
      </w:pPr>
      <w:r>
        <w:rPr>
          <w:b w:val="0"/>
          <w:i w:val="0"/>
        </w:rPr>
        <w:t>Performance security: 10% (€9.24M) on-demand bank guarantee (Part A Item 4.2).</w:t>
      </w:r>
    </w:p>
    <w:p>
      <w:pPr>
        <w:pStyle w:val="ListBullet"/>
      </w:pPr>
      <w:r>
        <w:rPr>
          <w:b w:val="0"/>
          <w:i w:val="0"/>
        </w:rPr>
        <w:t>Concurrent delay: apportionment by the Engineer (SP-7); no Cost for concurrent periods.</w:t>
      </w:r>
    </w:p>
    <w:p>
      <w:pPr>
        <w:pStyle w:val="ListBullet"/>
      </w:pPr>
      <w:r>
        <w:rPr>
          <w:b w:val="0"/>
          <w:i w:val="0"/>
        </w:rPr>
        <w:t>Sole remedy for delay: Delay Damages (SP-8) — no parallel common-law damages.</w:t>
      </w:r>
    </w:p>
    <w:p>
      <w:pPr>
        <w:pStyle w:val="ListBullet"/>
      </w:pPr>
      <w:r>
        <w:rPr>
          <w:b w:val="0"/>
          <w:i w:val="0"/>
        </w:rPr>
        <w:t>Sign convention for cash flow (workbook Cash Flow tab): positive cumulative net = cash in hand (buffer); negative cumulative net = working-capital facility required.</w:t>
      </w:r>
    </w:p>
    <w:p>
      <w:pPr>
        <w:pStyle w:val="Heading1"/>
      </w:pPr>
      <w:r>
        <w:rPr>
          <w:color w:val="1F4E78"/>
        </w:rPr>
        <w:t>8. Risk summary — top items</w:t>
      </w:r>
    </w:p>
    <w:p>
      <w:r>
        <w:rPr>
          <w:b w:val="0"/>
          <w:i w:val="0"/>
        </w:rPr>
        <w:t>Sixteen risks are scored in the Risk Register sheet of the cash flow workbook (PDC-CF-001 Rev 0). Top six by residual score: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20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720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040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52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R-Score</w:t>
            </w:r>
          </w:p>
        </w:tc>
        <w:tc>
          <w:tcPr>
            <w:tcW w:type="dxa" w:w="2448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LT-01 transformers, −6.4 wks float; Section 1 at risk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PM + Procurement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R-05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Grid energisation MS-09 (12 Mar 2027) gates Section 1 TOC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PM + Engineering Mgr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R-03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110 kV overhead line — DNO consent before substation precast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Engineering Manager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R-06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Rock blasting — vibration, neighbour, archaeology trigger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Site Manager + H&amp;S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R-15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Tenant acceptance dependencies on Sectional Completion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PM + Commercial Mgr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R-08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Back-to-back sub terms draw to −€16.58M in December 2026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Commercial Mgr + Finance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7 (new)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R-16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Commencement-date conflict (PC 2 Mar vs baseline 1 Mar)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PM + Planner</w:t>
            </w:r>
          </w:p>
        </w:tc>
      </w:tr>
    </w:tbl>
    <w:p>
      <w:pPr>
        <w:pStyle w:val="Heading1"/>
      </w:pPr>
      <w:r>
        <w:rPr>
          <w:color w:val="1F4E78"/>
        </w:rPr>
        <w:t>9. Cash flow highlights</w:t>
      </w:r>
    </w:p>
    <w:p>
      <w:r>
        <w:rPr>
          <w:b/>
          <w:i w:val="0"/>
        </w:rPr>
        <w:t>Base case (45d in / 45d out, 10% advance paid at Commencement, 5% retention):</w:t>
      </w:r>
    </w:p>
    <w:p>
      <w:pPr>
        <w:pStyle w:val="ListBullet"/>
      </w:pPr>
      <w:r>
        <w:rPr>
          <w:b w:val="0"/>
          <w:i w:val="0"/>
        </w:rPr>
        <w:t>Minimum cash buffer: +€4.26M SURPLUS in May 2027. The cumulative net cash position stays POSITIVE throughout the build — the 10% advance (€9.24M, paid at Commencement per PC RevC SP-11) is sufficient to bridge the cash gap. Peak monthly cash-out €24.18M in November 2026; end-of-project net +€4.81M. The base case requires NO working-capital facility.</w:t>
      </w:r>
    </w:p>
    <w:p>
      <w:r>
        <w:rPr>
          <w:b/>
          <w:i w:val="0"/>
        </w:rPr>
        <w:t>Sensitivity (workbook Sensitivity sheet, three scenarios):</w:t>
      </w:r>
    </w:p>
    <w:p>
      <w:pPr>
        <w:pStyle w:val="ListBullet"/>
      </w:pPr>
      <w:r>
        <w:rPr>
          <w:b w:val="0"/>
          <w:i w:val="0"/>
        </w:rPr>
        <w:t>Slow-payer scenario (45d in / 75d out) — minimum buffer +€4.26M in May 2027 (same as base; advance holds).</w:t>
      </w:r>
    </w:p>
    <w:p>
      <w:pPr>
        <w:pStyle w:val="ListBullet"/>
      </w:pPr>
      <w:r>
        <w:rPr>
          <w:b w:val="0"/>
          <w:i w:val="0"/>
        </w:rPr>
        <w:t>Back-to-back scenario (45d in / 30d out) — facility required −€16.58M in December 2026. A working-capital line of approximately €17–18M would be needed to bridge the trough if subs press for shorter payment terms. (This is the real facility case — see §1.1 headline.)</w:t>
      </w:r>
    </w:p>
    <w:p>
      <w:pPr>
        <w:pStyle w:val="ListBullet"/>
      </w:pPr>
      <w:r>
        <w:rPr>
          <w:b w:val="0"/>
          <w:i w:val="0"/>
        </w:rPr>
        <w:t>Sign convention (workbook Cash Flow tab): positive = cash in hand (buffer); negative = drawn (WC facility required). The label 'minimum cash buffer' replaces the earlier 'peak funding requirement' because the base case never goes negative — it is the tightest point of a surplus, not a funding shortfall.</w:t>
      </w:r>
    </w:p>
    <w:p>
      <w:pPr>
        <w:pStyle w:val="ListBullet"/>
      </w:pPr>
      <w:r>
        <w:rPr>
          <w:b w:val="0"/>
          <w:i w:val="0"/>
        </w:rPr>
        <w:t>All three sensitivities assume sub payment terms as stated. A genuine sub-side dispute that delays sub-IPC processing would change the picture and is flagged in the workbook assumptions log (A-03, A-04).</w:t>
      </w:r>
    </w:p>
    <w:p>
      <w:pPr>
        <w:pStyle w:val="Heading1"/>
      </w:pPr>
      <w:r>
        <w:rPr>
          <w:color w:val="1F4E78"/>
        </w:rPr>
        <w:t>10. Assumptions</w:t>
      </w:r>
    </w:p>
    <w:p>
      <w:r>
        <w:rPr>
          <w:b w:val="0"/>
          <w:i w:val="0"/>
        </w:rPr>
        <w:t>The full assumptions log is in the workbook (Assumptions Log sheet). Headline items:</w:t>
      </w:r>
    </w:p>
    <w:p>
      <w:pPr>
        <w:pStyle w:val="ListBullet"/>
      </w:pPr>
      <w:r>
        <w:rPr>
          <w:b w:val="0"/>
          <w:i w:val="0"/>
        </w:rPr>
        <w:t>Employer pays 45 days after Engineer-issued IPC (PC RevC Sub-Clause 14.7; user-confirmed base case). 75-day sensitivity shown in workbook.</w:t>
      </w:r>
    </w:p>
    <w:p>
      <w:pPr>
        <w:pStyle w:val="ListBullet"/>
      </w:pPr>
      <w:r>
        <w:rPr>
          <w:b w:val="0"/>
          <w:i w:val="0"/>
        </w:rPr>
        <w:t>Advance payment (10%) PAID AT COMMENCEMENT against guarantee (PC RevC SP-11), recovered at 12% per IPC. (Critical — see §7 and §9.)</w:t>
      </w:r>
    </w:p>
    <w:p>
      <w:pPr>
        <w:pStyle w:val="ListBullet"/>
      </w:pPr>
      <w:r>
        <w:rPr>
          <w:b w:val="0"/>
          <w:i w:val="0"/>
        </w:rPr>
        <w:t>We pay subs 45 days after sub IPC (industry Nordic norm; user-confirmed). 30-day sensitivity for back-to-back pressure case.</w:t>
      </w:r>
    </w:p>
    <w:p>
      <w:pPr>
        <w:pStyle w:val="ListBullet"/>
      </w:pPr>
      <w:r>
        <w:rPr>
          <w:b w:val="0"/>
          <w:i w:val="0"/>
        </w:rPr>
        <w:t>Cash-OUT is built on the BOQ mapped to cost-loaded timing; prelims kept as a separate management line and not folded into package spend (user-confirmed for auditor defensibility).</w:t>
      </w:r>
    </w:p>
    <w:p>
      <w:pPr>
        <w:pStyle w:val="ListBullet"/>
      </w:pPr>
      <w:r>
        <w:rPr>
          <w:b w:val="0"/>
          <w:i w:val="0"/>
        </w:rPr>
        <w:t>VAT reverse-charged, not modelled (Finnish construction services). Inflation / escalation not modelled (lump sum FIDIC YB). Insurance deductibles not quantified (data gap).</w:t>
      </w:r>
    </w:p>
    <w:p>
      <w:pPr>
        <w:pStyle w:val="ListBullet"/>
      </w:pPr>
      <w:r>
        <w:rPr>
          <w:b w:val="0"/>
          <w:i w:val="0"/>
        </w:rPr>
        <w:t>Cost loading total €82,970,863 (verified by summing every numeric value in Schedule Table col M, 133 rows — see workbook Audit — Cost Loading sheet). BOQ total €92,400,000. Gap €9.43M (Appendix A).</w:t>
      </w:r>
    </w:p>
    <w:p>
      <w:pPr>
        <w:pStyle w:val="ListBullet"/>
      </w:pPr>
      <w:r>
        <w:rPr>
          <w:b w:val="0"/>
          <w:i w:val="0"/>
        </w:rPr>
        <w:t>Commencement-date conflict (PC RevC 2 March 2026 vs baseline 1 March 2026) is now a live item in the workbook Risk Register as R-16, with the planner assigned to align the baseline. All board documentation uses the PC date as authority.</w:t>
      </w:r>
    </w:p>
    <w:p>
      <w:pPr>
        <w:pStyle w:val="ListBullet"/>
      </w:pPr>
      <w:r>
        <w:rPr>
          <w:b w:val="0"/>
          <w:i w:val="0"/>
        </w:rPr>
        <w:t>Activity-to-section mapping is heuristic by activity name keyword; unallocated prelims are pro-rated by classified-cost share.</w:t>
      </w:r>
    </w:p>
    <w:p>
      <w:r>
        <w:br w:type="page"/>
      </w:r>
    </w:p>
    <w:p>
      <w:pPr>
        <w:pStyle w:val="Heading1"/>
      </w:pPr>
      <w:r>
        <w:rPr>
          <w:color w:val="1F4E78"/>
        </w:rPr>
        <w:t>Appendix A — BOQ ↔ Cost-Loading Reconciliation</w:t>
      </w:r>
    </w:p>
    <w:p>
      <w:r>
        <w:rPr>
          <w:b/>
          <w:i w:val="0"/>
        </w:rPr>
        <w:t>Headline: cost-loading total €82,970,863; BOQ Accepted Contract Amount €92,400,000; gap €9,429,137.</w:t>
      </w:r>
    </w:p>
    <w:p>
      <w:r>
        <w:rPr>
          <w:b/>
          <w:i w:val="0"/>
        </w:rPr>
        <w:t>Section-by-section view (all 10 sections; per-section deltas sum exactly to the €9.43M gap):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20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BOQ §</w:t>
            </w:r>
          </w:p>
        </w:tc>
        <w:tc>
          <w:tcPr>
            <w:tcW w:type="dxa" w:w="4320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016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Cost Loading €</w:t>
            </w:r>
          </w:p>
        </w:tc>
        <w:tc>
          <w:tcPr>
            <w:tcW w:type="dxa" w:w="2016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BOQ €</w:t>
            </w:r>
          </w:p>
        </w:tc>
        <w:tc>
          <w:tcPr>
            <w:tcW w:type="dxa" w:w="1728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Diff €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Preliminaries &amp; General Requirements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2,509,183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6,006,000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+3,496,817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Earthworks, Blasting, Piling &amp; Substructure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9,389,260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6,468,000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-2,921,260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Structure — Structural Steel &amp; Precast Concrete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7,273,037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8,778,000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+1,504,963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Envelope — Cladding, Roofing &amp; Louvres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5,600,177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5,544,000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-56,177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Architectural Finishes &amp; Data Hall Containment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4,203,494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4,620,000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+416,506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Mechanical — Chillers, Dry Coolers, CRAH &amp; Pipework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30,151,082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22,176,000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-7,975,082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Electrical — HV/MV, Transformers, UPS &amp; Generators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10,739,475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27,720,000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+16,980,525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ELV, BMS/DCIM, Fire Detection &amp; Suppression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2,629,753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5,082,000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+2,452,247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External Works, Security &amp; Fibre Entry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2,273,855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3,696,000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+1,422,145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J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Commissioning &amp; Handover (L1-L5)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8,201,547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2,310,000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-5,891,547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82,970,863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92,400,000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+9,429,137</w:t>
            </w:r>
          </w:p>
        </w:tc>
      </w:tr>
    </w:tbl>
    <w:p>
      <w:r>
        <w:rPr>
          <w:b/>
          <w:i w:val="0"/>
        </w:rPr>
        <w:t>Why the gap exists — the structural story (all 10 sections accounted for):</w:t>
      </w:r>
    </w:p>
    <w:p>
      <w:pPr>
        <w:pStyle w:val="ListBullet"/>
      </w:pPr>
      <w:r>
        <w:rPr>
          <w:b w:val="0"/>
          <w:i w:val="0"/>
        </w:rPr>
        <w:t>Section G (Electrical): BOQ higher by €16,980,525. The BOQ carries full equipment supply — transformers, switchgear, 8 × standby generators, 16 × UPS modules, busway. The cost loading carries install-only labour for those items.</w:t>
      </w:r>
    </w:p>
    <w:p>
      <w:pPr>
        <w:pStyle w:val="ListBullet"/>
      </w:pPr>
      <w:r>
        <w:rPr>
          <w:b w:val="0"/>
          <w:i w:val="0"/>
        </w:rPr>
        <w:t>Section H (ELV): BOQ higher by €2,452,247. Suppression system hardware + BMS/DCIM hardware supply not fully in cost loading.</w:t>
      </w:r>
    </w:p>
    <w:p>
      <w:pPr>
        <w:pStyle w:val="ListBullet"/>
      </w:pPr>
      <w:r>
        <w:rPr>
          <w:b w:val="0"/>
          <w:i w:val="0"/>
        </w:rPr>
        <w:t>Section A (Preliminaries): BOQ higher by €3,496,817. Insurance, performance bond, statutory supervisors, design development &amp; risk allowance in BOQ A but light in cost loading.</w:t>
      </w:r>
    </w:p>
    <w:p>
      <w:pPr>
        <w:pStyle w:val="ListBullet"/>
      </w:pPr>
      <w:r>
        <w:rPr>
          <w:b w:val="0"/>
          <w:i w:val="0"/>
        </w:rPr>
        <w:t>Section I (External): BOQ higher by €1,422,145. Full external works scope (security, fibre entry, paving, landscaping) in BOQ vs install-only cost loading.</w:t>
      </w:r>
    </w:p>
    <w:p>
      <w:pPr>
        <w:pStyle w:val="ListBullet"/>
      </w:pPr>
      <w:r>
        <w:rPr>
          <w:b w:val="0"/>
          <w:i w:val="0"/>
        </w:rPr>
        <w:t>Section C (Structure): BOQ higher by €1,504,963. Steel and precast supply in BOQ slightly exceeds cost-loading labour.</w:t>
      </w:r>
    </w:p>
    <w:p>
      <w:pPr>
        <w:pStyle w:val="ListBullet"/>
      </w:pPr>
      <w:r>
        <w:rPr>
          <w:b w:val="0"/>
          <w:i w:val="0"/>
        </w:rPr>
        <w:t>Section E (Finishes): BOQ higher by €416,506. Finishes and data-hall containment supply in BOQ slightly exceeds cost loading.</w:t>
      </w:r>
    </w:p>
    <w:p>
      <w:pPr>
        <w:pStyle w:val="ListBullet"/>
      </w:pPr>
      <w:r>
        <w:rPr>
          <w:b w:val="0"/>
          <w:i w:val="0"/>
        </w:rPr>
        <w:t>Section B (Earthworks): cost loading higher by €2,921,260. Bulk earthworks, blasting, piling — cost loading priced at planner's rates higher than BOQ.</w:t>
      </w:r>
    </w:p>
    <w:p>
      <w:pPr>
        <w:pStyle w:val="ListBullet"/>
      </w:pPr>
      <w:r>
        <w:rPr>
          <w:b w:val="0"/>
          <w:i w:val="0"/>
        </w:rPr>
        <w:t>Section D (Envelope): cost loading higher by €56,177. Negligible — cladding/roofing align closely.</w:t>
      </w:r>
    </w:p>
    <w:p>
      <w:pPr>
        <w:pStyle w:val="ListBullet"/>
      </w:pPr>
      <w:r>
        <w:rPr>
          <w:b w:val="0"/>
          <w:i w:val="0"/>
        </w:rPr>
        <w:t>Section F (Mechanical): cost loading higher by €7,975,082. Cost-loaded Mech/Mech HVAC/Mech Pipe resource groups carry full install premium; BOQ F is equipment-supply-weighted.</w:t>
      </w:r>
    </w:p>
    <w:p>
      <w:pPr>
        <w:pStyle w:val="ListBullet"/>
      </w:pPr>
      <w:r>
        <w:rPr>
          <w:b w:val="0"/>
          <w:i w:val="0"/>
        </w:rPr>
        <w:t>Section J (Commissioning): cost loading higher by €5,891,547. Cost-loaded Commissioning RG carries L1–L5 labour; BOQ J is lighter.</w:t>
      </w:r>
    </w:p>
    <w:p>
      <w:pPr>
        <w:pStyle w:val="ListBullet"/>
      </w:pPr>
      <w:r>
        <w:rPr>
          <w:b w:val="0"/>
          <w:i w:val="0"/>
        </w:rPr>
        <w:t>Net residual: €9,429,137. The bigger story is the structural shift — the cost loading is a labour+install view; the BOQ is a supply+install view. The two views complement each other for cash-flow modelling.</w:t>
      </w:r>
    </w:p>
    <w:p>
      <w:r>
        <w:rPr>
          <w:b/>
          <w:i w:val="0"/>
        </w:rPr>
        <w:t>FOR THE CASH FLOW:</w:t>
      </w:r>
    </w:p>
    <w:p>
      <w:pPr>
        <w:pStyle w:val="ListBullet"/>
      </w:pPr>
      <w:r>
        <w:rPr>
          <w:b w:val="0"/>
          <w:i w:val="0"/>
        </w:rPr>
        <w:t>Cash-IN is built on the BOQ (€92.4M) using the cost-loaded monthly profile scaled by a single factor (BOQ / cost-loading total ≈ 1.1136). The reconciliation is preserved because the per-section BOQ and cost-loading values reconcile at the workbook Reconciliation sheet.</w:t>
      </w:r>
    </w:p>
    <w:p>
      <w:pPr>
        <w:pStyle w:val="ListBullet"/>
      </w:pPr>
      <w:r>
        <w:rPr>
          <w:b w:val="0"/>
          <w:i w:val="0"/>
        </w:rPr>
        <w:t>Cash-OUT is built on the BOQ mapped to cost-loaded activity timing (€82.97M of cost-loaded labour/install), with the equipment-supply gap shown implicitly as part of the Advance Procurement line paid against the relevant procurement milestones (LT-01 to LT-15).</w:t>
      </w:r>
    </w:p>
    <w:p>
      <w:pPr>
        <w:pStyle w:val="ListBullet"/>
      </w:pPr>
      <w:r>
        <w:rPr>
          <w:b w:val="0"/>
          <w:i w:val="0"/>
        </w:rPr>
        <w:t>Preliminaries (€6.006M BOQ Section A) are shown as a separate management/prelims spend line that is not subject to the 45-day sub payment lag — they are paid monthly in arrears per the cost-loaded timing.</w:t>
      </w:r>
    </w:p>
    <w:p>
      <w:r>
        <w:br w:type="page"/>
      </w:r>
    </w:p>
    <w:p>
      <w:pPr>
        <w:pStyle w:val="Heading1"/>
      </w:pPr>
      <w:r>
        <w:rPr>
          <w:color w:val="1F4E78"/>
        </w:rPr>
        <w:t>Appendix B — Sectional Completion &amp; Delay Damages (PDC-SC-001 Rev 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64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6048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152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TfC (mo)</w:t>
            </w:r>
          </w:p>
        </w:tc>
        <w:tc>
          <w:tcPr>
            <w:tcW w:type="dxa" w:w="2016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Completion date</w:t>
            </w:r>
          </w:p>
        </w:tc>
        <w:tc>
          <w:tcPr>
            <w:tcW w:type="dxa" w:w="1440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LD/day (€)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DH1 + primary substation + generator compound + shared cooling spine + site access + gatehouse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 May 2027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18,000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DH2 + plant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 July 2027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12,000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DH3 + plant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 October 2027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12,000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DH4 + admin/NOC + external works + landscaping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 January 2028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10,000</w:t>
            </w:r>
          </w:p>
        </w:tc>
      </w:tr>
    </w:tbl>
    <w:p>
      <w:r>
        <w:rPr>
          <w:b/>
          <w:i w:val="0"/>
        </w:rPr>
        <w:t>Aggregate LD cap: 10% of contract sum = €9,240,000.</w:t>
      </w:r>
    </w:p>
    <w:p>
      <w:pPr>
        <w:pStyle w:val="ListBullet"/>
      </w:pPr>
      <w:r>
        <w:rPr>
          <w:b w:val="0"/>
          <w:i w:val="0"/>
        </w:rPr>
        <w:t>Concurrent delay: apportioned by the Engineer (SP-7); no Cost for concurrent periods.</w:t>
      </w:r>
    </w:p>
    <w:p>
      <w:pPr>
        <w:pStyle w:val="ListBullet"/>
      </w:pPr>
      <w:r>
        <w:rPr>
          <w:b w:val="0"/>
          <w:i w:val="0"/>
        </w:rPr>
        <w:t>Sole remedy for delay: Delay Damages only (SP-8).</w:t>
      </w:r>
    </w:p>
    <w:p>
      <w:pPr>
        <w:pStyle w:val="ListBullet"/>
      </w:pPr>
      <w:r>
        <w:rPr>
          <w:b w:val="0"/>
          <w:i w:val="0"/>
        </w:rPr>
        <w:t>Taking-Over requires the Finnish occupancy inspection (käyttöönottotarkastus) and the Tenant technical acceptance (Anchor Tenant Technical Annex).</w:t>
      </w:r>
    </w:p>
    <w:p>
      <w:pPr>
        <w:pStyle w:val="ListBullet"/>
      </w:pPr>
      <w:r>
        <w:rPr>
          <w:b w:val="0"/>
          <w:i w:val="0"/>
        </w:rPr>
        <w:t>All Section dates key off the Commencement Date of 2 March 2026 (per PC RevC). The baseline schedule currently uses 1 March 2026 — Risk R-16 in the workbook.</w:t>
      </w:r>
    </w:p>
    <w:p>
      <w:r>
        <w:br w:type="page"/>
      </w:r>
    </w:p>
    <w:p>
      <w:pPr>
        <w:pStyle w:val="Heading1"/>
      </w:pPr>
      <w:r>
        <w:rPr>
          <w:color w:val="1F4E78"/>
        </w:rPr>
        <w:t>Appendix C — Key Milestones (PDC-MS-001 Rev 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64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Ref</w:t>
            </w:r>
          </w:p>
        </w:tc>
        <w:tc>
          <w:tcPr>
            <w:tcW w:type="dxa" w:w="4320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016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04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Commencement Date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Contract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2 Mar 2026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MS-04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Statutory supervisors approved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Permit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Before works start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MS-05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Blasting permit + pre-condition survey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Permit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Before rock excavation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MS-07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Long-lead HV equipment ordered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Procurement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Month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MS-08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110 kV outage window applied for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DNO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16 wks before energisation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MS-09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Earliest firm grid energisation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DNO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12 Mar 2027 (CRITICAL)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MS-10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Tenant fit-out access to Hall 1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Tenant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Month 12 (overlaps Section 1)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MS-11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Section 1 L4 integrated systems testing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Commissioning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Month 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MS-12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Section 1 L5 24h load-bank test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Commissioning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Month 14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MS-13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Section 1 occupancy inspection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Authority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Month 14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MS-14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Section 1 Taking Over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Contract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2 May 2027 — LD €18k/day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MS-15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Section 2 Taking Over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Contract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2 July 2027 — LD €12k/day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MS-16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District heating boundary works complete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Offtaker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31 Aug 2027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MS-17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Waste-heat 72h witnessed test (heating season only)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Offtaker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Oct–Apr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MS-18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Section 3 Taking Over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Contract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2 Oct 2027 — LD €12k/day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MS-19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Section 4 Taking Over / whole of Works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Contract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2 Jan 2028 — LD €10k/day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