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B4F73"/>
          <w:sz w:val="40"/>
        </w:rPr>
        <w:t>Polaris DC-1 — Aviapolis Data Campus, Vantaa</w:t>
      </w:r>
    </w:p>
    <w:p>
      <w:r>
        <w:rPr>
          <w:b/>
          <w:color w:val="222222"/>
          <w:sz w:val="28"/>
        </w:rPr>
        <w:t>Period 05 — Monthly Progress Report</w:t>
      </w:r>
    </w:p>
    <w:p>
      <w:pPr>
        <w:shd w:val="clear" w:color="auto" w:fill="F0F0F0"/>
      </w:pPr>
      <w:r>
        <w:rPr>
          <w:b/>
          <w:color w:val="555555"/>
          <w:sz w:val="16"/>
        </w:rPr>
        <w:t>Data date: 31 July 2026  ·  Reporting window: 01–31 July 2026  ·  Issued for PMC / ER record</w:t>
      </w:r>
    </w:p>
    <w:p>
      <w:pPr>
        <w:spacing w:before="240" w:after="80"/>
      </w:pPr>
      <w:r>
        <w:rPr>
          <w:b/>
          <w:color w:val="2B4F73"/>
          <w:sz w:val="28"/>
        </w:rPr>
        <w:t>1. Executive Summary</w:t>
      </w:r>
    </w:p>
    <w:p>
      <w:pPr>
        <w:spacing w:before="0" w:after="40"/>
      </w:pPr>
      <w:r>
        <w:rPr>
          <w:b w:val="0"/>
          <w:color w:val="222222"/>
          <w:sz w:val="21"/>
        </w:rPr>
        <w:t>The project is on programme this period with no working days of float on the critical path (DH2 chain). Section 1 sectional completion (2027-05-02, EUR 18,000/day LDs) is forecast-met at month-end. The principal movement this period is the loss of 2 working days on the DH2 pile-caps chain (22.07.2026 concrete supply failure at Rudus Vantaa — Kallio's nominated concrete supplier), which propagated to the DH2 waterproofing activity. Section 1 is intact only because the same 2 days were the spare float on the chain — any further loss on DH1 piling (GW-1200) is now direct on completion. The Kallio 22.07 event sits within Kallio's supply chain and is Kallio's risk under PDC-SUB-001 Rev0; no claim has been lodged for it in this period and no Employer valuation is reserved against it.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b/>
                <w:color w:val="222222"/>
                <w:sz w:val="20"/>
              </w:rPr>
              <w:t>Accepted Contract Amount (BAC)</w:t>
            </w:r>
          </w:p>
        </w:tc>
        <w:tc>
          <w:tcPr>
            <w:tcW w:type="dxa" w:w="3324"/>
          </w:tcPr>
          <w:p>
            <w:r/>
            <w:r>
              <w:rPr>
                <w:color w:val="222222"/>
                <w:sz w:val="20"/>
              </w:rPr>
              <w:t>EUR 92,400,000</w:t>
            </w:r>
          </w:p>
        </w:tc>
        <w:tc>
          <w:tcPr>
            <w:tcW w:type="dxa" w:w="3324"/>
          </w:tcPr>
          <w:p>
            <w:r/>
            <w:r>
              <w:rPr>
                <w:color w:val="222222"/>
                <w:sz w:val="20"/>
              </w:rPr>
              <w:t>PDC-BOQ-001 Rev A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color w:val="222222"/>
                <w:sz w:val="20"/>
              </w:rPr>
              <w:t>PV to date</w:t>
            </w:r>
          </w:p>
        </w:tc>
        <w:tc>
          <w:tcPr>
            <w:tcW w:type="dxa" w:w="3324"/>
          </w:tcPr>
          <w:p>
            <w:r/>
            <w:r>
              <w:rPr>
                <w:color w:val="222222"/>
                <w:sz w:val="20"/>
              </w:rPr>
              <w:t>EUR 3,302,068</w:t>
            </w:r>
          </w:p>
        </w:tc>
        <w:tc>
          <w:tcPr>
            <w:tcW w:type="dxa" w:w="3324"/>
          </w:tcPr>
          <w:p>
            <w:r/>
            <w:r>
              <w:rPr>
                <w:color w:val="222222"/>
                <w:sz w:val="20"/>
              </w:rPr>
              <w:t>Derived (see §6)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color w:val="222222"/>
                <w:sz w:val="20"/>
              </w:rPr>
              <w:t>EV to date</w:t>
            </w:r>
          </w:p>
        </w:tc>
        <w:tc>
          <w:tcPr>
            <w:tcW w:type="dxa" w:w="3324"/>
          </w:tcPr>
          <w:p>
            <w:r/>
            <w:r>
              <w:rPr>
                <w:color w:val="222222"/>
                <w:sz w:val="20"/>
              </w:rPr>
              <w:t>EUR 3,236,387</w:t>
            </w:r>
          </w:p>
        </w:tc>
        <w:tc>
          <w:tcPr>
            <w:tcW w:type="dxa" w:w="3324"/>
          </w:tcPr>
          <w:p>
            <w:r/>
            <w:r>
              <w:rPr>
                <w:color w:val="222222"/>
                <w:sz w:val="20"/>
              </w:rPr>
              <w:t>Derived (see §6)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color w:val="222222"/>
                <w:sz w:val="20"/>
              </w:rPr>
              <w:t>AC to date</w:t>
            </w:r>
          </w:p>
        </w:tc>
        <w:tc>
          <w:tcPr>
            <w:tcW w:type="dxa" w:w="3324"/>
          </w:tcPr>
          <w:p>
            <w:r/>
            <w:r>
              <w:rPr>
                <w:color w:val="222222"/>
                <w:sz w:val="20"/>
              </w:rPr>
              <w:t>EUR 3,765,800</w:t>
            </w:r>
          </w:p>
        </w:tc>
        <w:tc>
          <w:tcPr>
            <w:tcW w:type="dxa" w:w="3324"/>
          </w:tcPr>
          <w:p>
            <w:r/>
            <w:r>
              <w:rPr>
                <w:color w:val="222222"/>
                <w:sz w:val="20"/>
              </w:rPr>
              <w:t>Derived (see §6)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color w:val="222222"/>
                <w:sz w:val="20"/>
              </w:rPr>
              <w:t>SPI</w:t>
            </w:r>
          </w:p>
        </w:tc>
        <w:tc>
          <w:tcPr>
            <w:tcW w:type="dxa" w:w="3324"/>
          </w:tcPr>
          <w:p>
            <w:r/>
            <w:r>
              <w:rPr>
                <w:color w:val="222222"/>
                <w:sz w:val="20"/>
              </w:rPr>
              <w:t>0.980</w:t>
            </w:r>
          </w:p>
        </w:tc>
        <w:tc>
          <w:tcPr>
            <w:tcW w:type="dxa" w:w="3324"/>
          </w:tcPr>
          <w:p>
            <w:r/>
            <w:r>
              <w:rPr>
                <w:color w:val="222222"/>
                <w:sz w:val="20"/>
              </w:rPr>
              <w:t>EV/PV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color w:val="222222"/>
                <w:sz w:val="20"/>
              </w:rPr>
              <w:t>CPI</w:t>
            </w:r>
          </w:p>
        </w:tc>
        <w:tc>
          <w:tcPr>
            <w:tcW w:type="dxa" w:w="3324"/>
          </w:tcPr>
          <w:p>
            <w:r/>
            <w:r>
              <w:rPr>
                <w:color w:val="222222"/>
                <w:sz w:val="20"/>
              </w:rPr>
              <w:t>0.859</w:t>
            </w:r>
          </w:p>
        </w:tc>
        <w:tc>
          <w:tcPr>
            <w:tcW w:type="dxa" w:w="3324"/>
          </w:tcPr>
          <w:p>
            <w:r/>
            <w:r>
              <w:rPr>
                <w:color w:val="222222"/>
                <w:sz w:val="20"/>
              </w:rPr>
              <w:t>EV/AC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color w:val="222222"/>
                <w:sz w:val="20"/>
              </w:rPr>
              <w:t>SV</w:t>
            </w:r>
          </w:p>
        </w:tc>
        <w:tc>
          <w:tcPr>
            <w:tcW w:type="dxa" w:w="3324"/>
          </w:tcPr>
          <w:p>
            <w:r/>
            <w:r>
              <w:rPr>
                <w:color w:val="222222"/>
                <w:sz w:val="20"/>
              </w:rPr>
              <w:t>−EUR 65,681</w:t>
            </w:r>
          </w:p>
        </w:tc>
        <w:tc>
          <w:tcPr>
            <w:tcW w:type="dxa" w:w="3324"/>
          </w:tcPr>
          <w:p>
            <w:r/>
            <w:r>
              <w:rPr>
                <w:color w:val="222222"/>
                <w:sz w:val="20"/>
              </w:rPr>
              <w:t>EV − PV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color w:val="222222"/>
                <w:sz w:val="20"/>
              </w:rPr>
              <w:t>CV</w:t>
            </w:r>
          </w:p>
        </w:tc>
        <w:tc>
          <w:tcPr>
            <w:tcW w:type="dxa" w:w="3324"/>
          </w:tcPr>
          <w:p>
            <w:r/>
            <w:r>
              <w:rPr>
                <w:color w:val="222222"/>
                <w:sz w:val="20"/>
              </w:rPr>
              <w:t>−EUR 529,413</w:t>
            </w:r>
          </w:p>
        </w:tc>
        <w:tc>
          <w:tcPr>
            <w:tcW w:type="dxa" w:w="3324"/>
          </w:tcPr>
          <w:p>
            <w:r/>
            <w:r>
              <w:rPr>
                <w:color w:val="222222"/>
                <w:sz w:val="20"/>
              </w:rPr>
              <w:t>EV − AC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color w:val="222222"/>
                <w:sz w:val="20"/>
              </w:rPr>
              <w:t>PM EAC (current view)</w:t>
            </w:r>
          </w:p>
        </w:tc>
        <w:tc>
          <w:tcPr>
            <w:tcW w:type="dxa" w:w="3324"/>
          </w:tcPr>
          <w:p>
            <w:r/>
            <w:r>
              <w:rPr>
                <w:color w:val="222222"/>
                <w:sz w:val="20"/>
              </w:rPr>
              <w:t>EUR 92,400,000</w:t>
            </w:r>
          </w:p>
        </w:tc>
        <w:tc>
          <w:tcPr>
            <w:tcW w:type="dxa" w:w="3324"/>
          </w:tcPr>
          <w:p>
            <w:r/>
            <w:r>
              <w:rPr>
                <w:color w:val="222222"/>
                <w:sz w:val="20"/>
              </w:rPr>
              <w:t>Held at BAC; no uplift warranted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color w:val="222222"/>
                <w:sz w:val="20"/>
              </w:rPr>
              <w:t>Section 1 forecast completion</w:t>
            </w:r>
          </w:p>
        </w:tc>
        <w:tc>
          <w:tcPr>
            <w:tcW w:type="dxa" w:w="3324"/>
          </w:tcPr>
          <w:p>
            <w:r/>
            <w:r>
              <w:rPr>
                <w:color w:val="222222"/>
                <w:sz w:val="20"/>
              </w:rPr>
              <w:t>2027-05-02</w:t>
            </w:r>
          </w:p>
        </w:tc>
        <w:tc>
          <w:tcPr>
            <w:tcW w:type="dxa" w:w="3324"/>
          </w:tcPr>
          <w:p>
            <w:r/>
            <w:r>
              <w:rPr>
                <w:color w:val="222222"/>
                <w:sz w:val="20"/>
              </w:rPr>
              <w:t>Forecast-met; 0 working days float on DH2 chain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color w:val="222222"/>
                <w:sz w:val="20"/>
              </w:rPr>
              <w:t>Critical path this period</w:t>
            </w:r>
          </w:p>
        </w:tc>
        <w:tc>
          <w:tcPr>
            <w:tcW w:type="dxa" w:w="3324"/>
          </w:tcPr>
          <w:p>
            <w:r/>
            <w:r>
              <w:rPr>
                <w:color w:val="222222"/>
                <w:sz w:val="20"/>
              </w:rPr>
              <w:t>DH1 piling → DH2 piling → DH2 pile caps → DH2 waterproofing</w:t>
            </w:r>
          </w:p>
        </w:tc>
        <w:tc>
          <w:tcPr>
            <w:tcW w:type="dxa" w:w="3324"/>
          </w:tcPr>
          <w:p>
            <w:r/>
            <w:r>
              <w:rPr>
                <w:color w:val="222222"/>
                <w:sz w:val="20"/>
              </w:rPr>
              <w:t>PDC-SCH-001 Rev0</w:t>
            </w:r>
          </w:p>
        </w:tc>
      </w:tr>
    </w:tbl>
    <w:p>
      <w:pPr>
        <w:spacing w:before="240" w:after="80"/>
      </w:pPr>
      <w:r>
        <w:rPr>
          <w:b/>
          <w:color w:val="2B4F73"/>
          <w:sz w:val="28"/>
        </w:rPr>
        <w:t>2. Package Position</w:t>
      </w:r>
    </w:p>
    <w:p>
      <w:pPr>
        <w:spacing w:before="120" w:after="40"/>
      </w:pPr>
      <w:r>
        <w:rPr>
          <w:b/>
          <w:color w:val="222222"/>
          <w:sz w:val="22"/>
        </w:rPr>
        <w:t>2.1 TP-001 Kallio (substructure, CIV-001)</w:t>
      </w:r>
    </w:p>
    <w:p>
      <w:pPr>
        <w:spacing w:before="0" w:after="40"/>
      </w:pPr>
      <w:r>
        <w:rPr>
          <w:b/>
          <w:color w:val="222222"/>
          <w:sz w:val="21"/>
        </w:rPr>
        <w:t>Sub package: Section B — Earthworks, Blasting, Piling &amp; Substructure (EUR 6,468,000).</w:t>
      </w:r>
    </w:p>
    <w:p>
      <w:pPr>
        <w:spacing w:before="0" w:after="40"/>
      </w:pPr>
      <w:r>
        <w:rPr>
          <w:b w:val="0"/>
          <w:color w:val="222222"/>
          <w:sz w:val="21"/>
        </w:rPr>
        <w:t>DH1 piling is in progress and on programme. Pile log 41 of 68 design installed + concreted at month-end (60% by quantity). Kallio's 64% cumulative figure on the return is a time-elapsed measure from programme start 2026-06-14; the QS site measure (60%) is the governing % for payment and progress reporting (Sectional Completion register is a quantity register). Reconciliation (A05-01) is due 05.08.2026.</w:t>
      </w:r>
    </w:p>
    <w:p>
      <w:pPr>
        <w:spacing w:before="0" w:after="40"/>
      </w:pPr>
      <w:r>
        <w:rPr>
          <w:b w:val="0"/>
          <w:color w:val="222222"/>
          <w:sz w:val="21"/>
        </w:rPr>
        <w:t>DH2 pile caps and ground beams (GW-1300) completed 28.07.2026 — 2 calendar days later than programme. The cause is a concrete supply failure on 22.07 at Rudus Vantaa, Kallio's nominated concrete supplier (Kallio P05 N-04). Under PDC-SUB-001 Rev0, the supply chain is Kallio's responsibility and the event is Kallio's risk; no claim has been lodged by Kallio in respect of the 22.07 event in this period. No Employer valuation is reserved against it.</w:t>
      </w:r>
    </w:p>
    <w:p>
      <w:pPr>
        <w:spacing w:before="0" w:after="40"/>
      </w:pPr>
      <w:r>
        <w:rPr>
          <w:b w:val="0"/>
          <w:color w:val="222222"/>
          <w:sz w:val="21"/>
        </w:rPr>
        <w:t>DH2 foundation waterproofing (GW-1500) was not started at month-end. The root cause is the F-S link from GW-1300: pile caps finished 28.07, access was only released 29.07 (PDC-LAB-P05 QS Site Measure), and the activity's programme start date 29.07 was already at the earliest-realistic start. The 2 days of slip on this activity is a propagated effect of the Kallio-risk pile-cap slip above. The activity is now programmed to start W/c 03.08.2026.</w:t>
      </w:r>
    </w:p>
    <w:p>
      <w:pPr>
        <w:spacing w:before="0" w:after="40"/>
      </w:pPr>
      <w:r>
        <w:rPr>
          <w:b w:val="0"/>
          <w:color w:val="222222"/>
          <w:sz w:val="21"/>
        </w:rPr>
        <w:t>Piling rig 2 (Junttan PM20) was off-hire 13.07–15.07, hydraulic failure — mechanical, not weather (PDC-PROG-001-P05 N-02; PDC-LAB-P05 Plant returns). This is Kallio plant risk; no EoT claim has been lodged.</w:t>
      </w:r>
    </w:p>
    <w:p>
      <w:pPr>
        <w:spacing w:before="0" w:after="40"/>
      </w:pPr>
      <w:r>
        <w:rPr>
          <w:b w:val="0"/>
          <w:color w:val="222222"/>
          <w:sz w:val="21"/>
        </w:rPr>
        <w:t>The NW corner made-ground condition (Kallio notes N-01/N-03) is reserved in the sub's return. BOQ B.04 is a provisional line of EUR 102,762.98 (1,620 m³ @ EUR 63.43); Kallio's reservation is for time and cost in respect of N-01/N-03 (P05 N-05). No Employer instruction has been issued. On the current evidence: piling rate reduced from 3.0 to 1.8 piles/day in the NW corner where made ground is below 3.0 m; the time impact is Kallio's risk pending Employer instruction; PMC will issue a request to the ER under separate cover.</w:t>
      </w:r>
    </w:p>
    <w:p>
      <w:pPr>
        <w:spacing w:before="120" w:after="40"/>
      </w:pPr>
      <w:r>
        <w:rPr>
          <w:b/>
          <w:color w:val="222222"/>
          <w:sz w:val="22"/>
        </w:rPr>
        <w:t>2.2 TP-005 Ilmatek (mechanical, MEC-001)</w:t>
      </w:r>
    </w:p>
    <w:p>
      <w:pPr>
        <w:spacing w:before="0" w:after="40"/>
      </w:pPr>
      <w:r>
        <w:rPr>
          <w:b/>
          <w:color w:val="222222"/>
          <w:sz w:val="21"/>
        </w:rPr>
        <w:t>Sub package: Section F — Mechanical (EUR 22,176,000).</w:t>
      </w:r>
    </w:p>
    <w:p>
      <w:pPr>
        <w:spacing w:before="0" w:after="40"/>
      </w:pPr>
      <w:r>
        <w:rPr>
          <w:b w:val="0"/>
          <w:color w:val="222222"/>
          <w:sz w:val="21"/>
        </w:rPr>
        <w:t>IL-1400 (Chilled water primary spine — pipework) is the only Section F activity with on-site progress this period. Ilmatek claim 12% cumulative on the basis of "offsite prefabrication at our Hyvinkää works" (sub-return row 118). The QS site measure (PDC-LAB-P05) is 5% — on-site work only (18 m of pipe-rack support steel + setting out). The governing position is 5% under PDC-SUB-005 Rev1 Cl. 4.7: payment is on completion of work in the Permanent Works, offsite spool sections do not pass the materials-on-site test, and tender qualification Q7 did not survive into the executed Rev1 subcontract (Contracts module finding). Wage labour is materially below programme: 5 on site in W30 and W31 against 11 planned in PDC-SCH-005 Rev1. Labour is Ilmatek's responsibility.</w:t>
      </w:r>
    </w:p>
    <w:p>
      <w:pPr>
        <w:spacing w:before="0" w:after="40"/>
      </w:pPr>
      <w:r>
        <w:rPr>
          <w:b w:val="0"/>
          <w:color w:val="222222"/>
          <w:sz w:val="21"/>
        </w:rPr>
        <w:t>The TP-005 Rev2 baseline programme is not yet accepted by the PMC. The Programme Compliance review documented 8 high-severity findings (sectional milestones not flagged; IL-1550 commissioning in winter; IL-1200/IL-1260 lead times compressed). Until the acceptance decision is made, the period 5 position is reported against an unaccepted baseline programme. Acceptance decision will be notified under separate cover.</w:t>
      </w:r>
    </w:p>
    <w:p>
      <w:pPr>
        <w:spacing w:before="0" w:after="40"/>
      </w:pPr>
      <w:r>
        <w:rPr>
          <w:b w:val="0"/>
          <w:color w:val="222222"/>
          <w:sz w:val="21"/>
        </w:rPr>
        <w:t>Labour below programme is a watching item. A formal request for a recovery schedule under PDC-SUB-005 Rev1 Cl. 4.4 will issue after this report.</w:t>
      </w:r>
    </w:p>
    <w:p>
      <w:pPr>
        <w:spacing w:before="120" w:after="40"/>
      </w:pPr>
      <w:r>
        <w:rPr>
          <w:b/>
          <w:color w:val="222222"/>
          <w:sz w:val="22"/>
        </w:rPr>
        <w:t>2.3 TP-008 Lehtinen (external works, security &amp; fibre entry, EXT-001)</w:t>
      </w:r>
    </w:p>
    <w:p>
      <w:pPr>
        <w:spacing w:before="0" w:after="40"/>
      </w:pPr>
      <w:r>
        <w:rPr>
          <w:b/>
          <w:color w:val="222222"/>
          <w:sz w:val="21"/>
        </w:rPr>
        <w:t>Sub package: Section I — External Works, Security &amp; Fibre Entry (EUR 3,696,000).</w:t>
      </w:r>
    </w:p>
    <w:p>
      <w:pPr>
        <w:spacing w:before="0" w:after="40"/>
      </w:pPr>
      <w:r>
        <w:rPr>
          <w:b w:val="0"/>
          <w:color w:val="222222"/>
          <w:sz w:val="21"/>
        </w:rPr>
        <w:t>Access roads &amp; parking construction (BOQ I.01) is 40% complete, agreed by Lehtinen and QS. Sub-base complete to the main gate. Ahead of programme — good weather.</w:t>
      </w:r>
    </w:p>
    <w:p>
      <w:pPr>
        <w:spacing w:before="0" w:after="40"/>
      </w:pPr>
      <w:r>
        <w:rPr>
          <w:b w:val="0"/>
          <w:color w:val="222222"/>
          <w:sz w:val="21"/>
        </w:rPr>
        <w:t>Perimeter fencing &amp; gates (GW-2000, BOQ I.02) is on programme, starts 17.08. Posts delivered 29.07.</w:t>
      </w:r>
    </w:p>
    <w:p>
      <w:pPr>
        <w:spacing w:before="0" w:after="40"/>
      </w:pPr>
      <w:r>
        <w:rPr>
          <w:b w:val="0"/>
          <w:color w:val="222222"/>
          <w:sz w:val="21"/>
        </w:rPr>
        <w:t>The north-east car park construction is blocked by the temporary parking compound which is still in use by other site activities (Risk R-09). This is an Employer-side internal site logistics constraint, not a sub failure. Lehtinen cannot start the NE car park scope until the compound is relocated. Action: Logistics to commit a relocation date in writing before P06.</w:t>
      </w:r>
    </w:p>
    <w:p>
      <w:pPr>
        <w:spacing w:before="240" w:after="80"/>
      </w:pPr>
      <w:r>
        <w:rPr>
          <w:b/>
          <w:color w:val="2B4F73"/>
          <w:sz w:val="28"/>
        </w:rPr>
        <w:t>3. Critical Path Status</w:t>
      </w:r>
    </w:p>
    <w:p>
      <w:pPr>
        <w:spacing w:before="0" w:after="40"/>
      </w:pPr>
      <w:r>
        <w:rPr>
          <w:b w:val="0"/>
          <w:color w:val="222222"/>
          <w:sz w:val="21"/>
        </w:rPr>
        <w:t>The Period 05 critical path is DH1 piling (GW-1200) → DH2 piling (GW-1210) → DH2 pile caps (GW-1300) → DH2 foundation waterproofing (GW-1500). The DH2 pile caps slip of 2 calendar days has consumed the 2 days of float on the DH2 chain. Section 1 is forecast-met at 2027-05-02 with zero working days of float on the DH2 chain. Any further loss on GW-1200 is direct on the completion date (PDC-MIN-P05 §3.5). The pile-cap slip is Kallio supply-chain risk; the propagated waterproofing delay is Kallio risk. There is no Employer liability on this chain at month-end.</w:t>
      </w:r>
    </w:p>
    <w:p>
      <w:pPr>
        <w:spacing w:before="0" w:after="40"/>
      </w:pPr>
      <w:r>
        <w:rPr>
          <w:b w:val="0"/>
          <w:color w:val="222222"/>
          <w:sz w:val="21"/>
        </w:rPr>
        <w:t>A separate risk sits on ST-1310 (substation/switchgear building precast erection, 2026-11-02 → 2026-11-25): the crane operates inside the 110 kV overhead-line exclusion zone, and the 110 kV outage/energisation window is under review (CD-05). This is an Employer / PMC / Design item (third-party utility). DNO written permission is required.</w:t>
      </w:r>
    </w:p>
    <w:p>
      <w:pPr>
        <w:spacing w:before="240" w:after="80"/>
      </w:pPr>
      <w:r>
        <w:rPr>
          <w:b/>
          <w:color w:val="2B4F73"/>
          <w:sz w:val="28"/>
        </w:rPr>
        <w:t>4. Significant Variances</w:t>
      </w:r>
    </w:p>
    <w:p>
      <w:pPr>
        <w:spacing w:before="0" w:after="40"/>
      </w:pPr>
      <w:r>
        <w:rPr>
          <w:b w:val="0"/>
          <w:color w:val="222222"/>
          <w:sz w:val="21"/>
        </w:rPr>
        <w:t>Risk allocation is stated here because the user asked for plain language on which delays are ours and which are the subcontractor's.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35"/>
            <w:shd w:val="clear" w:color="auto" w:fill="2B4F73"/>
          </w:tcPr>
          <w:p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1984"/>
            <w:shd w:val="clear" w:color="auto" w:fill="2B4F73"/>
          </w:tcPr>
          <w:p>
            <w:r/>
            <w:r>
              <w:rPr>
                <w:b/>
                <w:color w:val="FFFFFF"/>
                <w:sz w:val="20"/>
              </w:rPr>
              <w:t>Variance</w:t>
            </w:r>
          </w:p>
        </w:tc>
        <w:tc>
          <w:tcPr>
            <w:tcW w:type="dxa" w:w="2551"/>
            <w:shd w:val="clear" w:color="auto" w:fill="2B4F73"/>
          </w:tcPr>
          <w:p>
            <w:r/>
            <w:r>
              <w:rPr>
                <w:b/>
                <w:color w:val="FFFFFF"/>
                <w:sz w:val="20"/>
              </w:rPr>
              <w:t>Cause</w:t>
            </w:r>
          </w:p>
        </w:tc>
        <w:tc>
          <w:tcPr>
            <w:tcW w:type="dxa" w:w="2268"/>
            <w:shd w:val="clear" w:color="auto" w:fill="2B4F73"/>
          </w:tcPr>
          <w:p>
            <w:r/>
            <w:r>
              <w:rPr>
                <w:b/>
                <w:color w:val="FFFFFF"/>
                <w:sz w:val="20"/>
              </w:rPr>
              <w:t>Risk allocation / money proportionate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color w:val="222222"/>
                <w:sz w:val="20"/>
              </w:rPr>
              <w:t>GW-1300 DH2 pile caps</w:t>
            </w:r>
          </w:p>
        </w:tc>
        <w:tc>
          <w:tcPr>
            <w:tcW w:type="dxa" w:w="2493"/>
          </w:tcPr>
          <w:p>
            <w:r/>
            <w:r>
              <w:rPr>
                <w:color w:val="222222"/>
                <w:sz w:val="20"/>
              </w:rPr>
              <w:t>−2 cal days</w:t>
            </w:r>
          </w:p>
        </w:tc>
        <w:tc>
          <w:tcPr>
            <w:tcW w:type="dxa" w:w="2493"/>
          </w:tcPr>
          <w:p>
            <w:r/>
            <w:r>
              <w:rPr>
                <w:color w:val="222222"/>
                <w:sz w:val="20"/>
              </w:rPr>
              <w:t>Concrete supply failure 22.07, Rudus Vantaa (Kallio's supplier)</w:t>
            </w:r>
          </w:p>
        </w:tc>
        <w:tc>
          <w:tcPr>
            <w:tcW w:type="dxa" w:w="2493"/>
          </w:tcPr>
          <w:p>
            <w:r/>
            <w:r>
              <w:rPr>
                <w:color w:val="222222"/>
                <w:sz w:val="20"/>
              </w:rPr>
              <w:t>Kallio risk — supply chain; no claim lodged; no valuation reserved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color w:val="222222"/>
                <w:sz w:val="20"/>
              </w:rPr>
              <w:t>GW-1500 DH2 waterproofing</w:t>
            </w:r>
          </w:p>
        </w:tc>
        <w:tc>
          <w:tcPr>
            <w:tcW w:type="dxa" w:w="2493"/>
          </w:tcPr>
          <w:p>
            <w:r/>
            <w:r>
              <w:rPr>
                <w:color w:val="222222"/>
                <w:sz w:val="20"/>
              </w:rPr>
              <w:t>−2 cal days (propagated)</w:t>
            </w:r>
          </w:p>
        </w:tc>
        <w:tc>
          <w:tcPr>
            <w:tcW w:type="dxa" w:w="2493"/>
          </w:tcPr>
          <w:p>
            <w:r/>
            <w:r>
              <w:rPr>
                <w:color w:val="222222"/>
                <w:sz w:val="20"/>
              </w:rPr>
              <w:t>F-S link from GW-1300; access released 29.07 only</w:t>
            </w:r>
          </w:p>
        </w:tc>
        <w:tc>
          <w:tcPr>
            <w:tcW w:type="dxa" w:w="2493"/>
          </w:tcPr>
          <w:p>
            <w:r/>
            <w:r>
              <w:rPr>
                <w:color w:val="222222"/>
                <w:sz w:val="20"/>
              </w:rPr>
              <w:t>Kallio risk — propagated downstream effect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color w:val="222222"/>
                <w:sz w:val="20"/>
              </w:rPr>
              <w:t>Piling rig 2 outage 13–15.07</w:t>
            </w:r>
          </w:p>
        </w:tc>
        <w:tc>
          <w:tcPr>
            <w:tcW w:type="dxa" w:w="2493"/>
          </w:tcPr>
          <w:p>
            <w:r/>
            <w:r>
              <w:rPr>
                <w:color w:val="222222"/>
                <w:sz w:val="20"/>
              </w:rPr>
              <w:t>3 cal days</w:t>
            </w:r>
          </w:p>
        </w:tc>
        <w:tc>
          <w:tcPr>
            <w:tcW w:type="dxa" w:w="2493"/>
          </w:tcPr>
          <w:p>
            <w:r/>
            <w:r>
              <w:rPr>
                <w:color w:val="222222"/>
                <w:sz w:val="20"/>
              </w:rPr>
              <w:t>Hydraulic failure (mechanical)</w:t>
            </w:r>
          </w:p>
        </w:tc>
        <w:tc>
          <w:tcPr>
            <w:tcW w:type="dxa" w:w="2493"/>
          </w:tcPr>
          <w:p>
            <w:r/>
            <w:r>
              <w:rPr>
                <w:color w:val="222222"/>
                <w:sz w:val="20"/>
              </w:rPr>
              <w:t>Kallio risk — plant; no EoT claim lodged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color w:val="222222"/>
                <w:sz w:val="20"/>
              </w:rPr>
              <w:t>IL-1400 cooling spine %</w:t>
            </w:r>
          </w:p>
        </w:tc>
        <w:tc>
          <w:tcPr>
            <w:tcW w:type="dxa" w:w="2493"/>
          </w:tcPr>
          <w:p>
            <w:r/>
            <w:r>
              <w:rPr>
                <w:color w:val="222222"/>
                <w:sz w:val="20"/>
              </w:rPr>
              <w:t>12% (sub) vs 5% (QS)</w:t>
            </w:r>
          </w:p>
        </w:tc>
        <w:tc>
          <w:tcPr>
            <w:tcW w:type="dxa" w:w="2493"/>
          </w:tcPr>
          <w:p>
            <w:r/>
            <w:r>
              <w:rPr>
                <w:color w:val="222222"/>
                <w:sz w:val="20"/>
              </w:rPr>
              <w:t>Offsite prefab claim denied under PDC-SUB-005 Rev1 Cl. 4.7</w:t>
            </w:r>
          </w:p>
        </w:tc>
        <w:tc>
          <w:tcPr>
            <w:tcW w:type="dxa" w:w="2493"/>
          </w:tcPr>
          <w:p>
            <w:r/>
            <w:r>
              <w:rPr>
                <w:color w:val="222222"/>
                <w:sz w:val="20"/>
              </w:rPr>
              <w:t>Adjustment EUR −132,236 to be applied to IV-005 once Ilmatek valuation runs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color w:val="222222"/>
                <w:sz w:val="20"/>
              </w:rPr>
              <w:t>NW corner made ground</w:t>
            </w:r>
          </w:p>
        </w:tc>
        <w:tc>
          <w:tcPr>
            <w:tcW w:type="dxa" w:w="2493"/>
          </w:tcPr>
          <w:p>
            <w:r/>
            <w:r>
              <w:rPr>
                <w:color w:val="222222"/>
                <w:sz w:val="20"/>
              </w:rPr>
              <w:t>n/a (informational)</w:t>
            </w:r>
          </w:p>
        </w:tc>
        <w:tc>
          <w:tcPr>
            <w:tcW w:type="dxa" w:w="2493"/>
          </w:tcPr>
          <w:p>
            <w:r/>
            <w:r>
              <w:rPr>
                <w:color w:val="222222"/>
                <w:sz w:val="20"/>
              </w:rPr>
              <w:t>Made ground below 3.0 m as per geotech</w:t>
            </w:r>
          </w:p>
        </w:tc>
        <w:tc>
          <w:tcPr>
            <w:tcW w:type="dxa" w:w="2493"/>
          </w:tcPr>
          <w:p>
            <w:r/>
            <w:r>
              <w:rPr>
                <w:color w:val="222222"/>
                <w:sz w:val="20"/>
              </w:rPr>
              <w:t>Open — Employer-side: BOQ B.04 EUR 102,762.98 provisional; Kallio has reserved time and cost (N-05); awaiting Employer instruction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color w:val="222222"/>
                <w:sz w:val="20"/>
              </w:rPr>
              <w:t>110 kV outage window</w:t>
            </w:r>
          </w:p>
        </w:tc>
        <w:tc>
          <w:tcPr>
            <w:tcW w:type="dxa" w:w="2493"/>
          </w:tcPr>
          <w:p>
            <w:r/>
            <w:r>
              <w:rPr>
                <w:color w:val="222222"/>
                <w:sz w:val="20"/>
              </w:rPr>
              <w:t>TBC</w:t>
            </w:r>
          </w:p>
        </w:tc>
        <w:tc>
          <w:tcPr>
            <w:tcW w:type="dxa" w:w="2493"/>
          </w:tcPr>
          <w:p>
            <w:r/>
            <w:r>
              <w:rPr>
                <w:color w:val="222222"/>
                <w:sz w:val="20"/>
              </w:rPr>
              <w:t>DNO / Vantaan Energia outage review</w:t>
            </w:r>
          </w:p>
        </w:tc>
        <w:tc>
          <w:tcPr>
            <w:tcW w:type="dxa" w:w="2493"/>
          </w:tcPr>
          <w:p>
            <w:r/>
            <w:r>
              <w:rPr>
                <w:color w:val="222222"/>
                <w:sz w:val="20"/>
              </w:rPr>
              <w:t>Employer / PMC / Design risk — third-party utility (CD-05)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color w:val="222222"/>
                <w:sz w:val="20"/>
              </w:rPr>
              <w:t>R-09 TMP compound blocks NE car park</w:t>
            </w:r>
          </w:p>
        </w:tc>
        <w:tc>
          <w:tcPr>
            <w:tcW w:type="dxa" w:w="2493"/>
          </w:tcPr>
          <w:p>
            <w:r/>
            <w:r>
              <w:rPr>
                <w:color w:val="222222"/>
                <w:sz w:val="20"/>
              </w:rPr>
              <w:t>n/a</w:t>
            </w:r>
          </w:p>
        </w:tc>
        <w:tc>
          <w:tcPr>
            <w:tcW w:type="dxa" w:w="2493"/>
          </w:tcPr>
          <w:p>
            <w:r/>
            <w:r>
              <w:rPr>
                <w:color w:val="222222"/>
                <w:sz w:val="20"/>
              </w:rPr>
              <w:t>Internal site logistics</w:t>
            </w:r>
          </w:p>
        </w:tc>
        <w:tc>
          <w:tcPr>
            <w:tcW w:type="dxa" w:w="2493"/>
          </w:tcPr>
          <w:p>
            <w:r/>
            <w:r>
              <w:rPr>
                <w:color w:val="222222"/>
                <w:sz w:val="20"/>
              </w:rPr>
              <w:t>Employer / TL risk</w:t>
            </w:r>
          </w:p>
        </w:tc>
      </w:tr>
    </w:tbl>
    <w:p>
      <w:pPr>
        <w:spacing w:before="240" w:after="80"/>
      </w:pPr>
      <w:r>
        <w:rPr>
          <w:b/>
          <w:color w:val="2B4F73"/>
          <w:sz w:val="28"/>
        </w:rPr>
        <w:t>5. Source-Conflict Log (governing records)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84"/>
            <w:shd w:val="clear" w:color="auto" w:fill="2B4F73"/>
          </w:tcPr>
          <w:p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1984"/>
            <w:shd w:val="clear" w:color="auto" w:fill="2B4F73"/>
          </w:tcPr>
          <w:p>
            <w:r/>
            <w:r>
              <w:rPr>
                <w:b/>
                <w:color w:val="FFFFFF"/>
                <w:sz w:val="20"/>
              </w:rPr>
              <w:t>Sub-return</w:t>
            </w:r>
          </w:p>
        </w:tc>
        <w:tc>
          <w:tcPr>
            <w:tcW w:type="dxa" w:w="1984"/>
            <w:shd w:val="clear" w:color="auto" w:fill="2B4F73"/>
          </w:tcPr>
          <w:p>
            <w:r/>
            <w:r>
              <w:rPr>
                <w:b/>
                <w:color w:val="FFFFFF"/>
                <w:sz w:val="20"/>
              </w:rPr>
              <w:t>Site records / QS</w:t>
            </w:r>
          </w:p>
        </w:tc>
        <w:tc>
          <w:tcPr>
            <w:tcW w:type="dxa" w:w="1701"/>
            <w:shd w:val="clear" w:color="auto" w:fill="2B4F73"/>
          </w:tcPr>
          <w:p>
            <w:r/>
            <w:r>
              <w:rPr>
                <w:b/>
                <w:color w:val="FFFFFF"/>
                <w:sz w:val="20"/>
              </w:rPr>
              <w:t>Governing record</w:t>
            </w:r>
          </w:p>
        </w:tc>
        <w:tc>
          <w:tcPr>
            <w:tcW w:type="dxa" w:w="1984"/>
            <w:shd w:val="clear" w:color="auto" w:fill="2B4F73"/>
          </w:tcPr>
          <w:p>
            <w:r/>
            <w:r>
              <w:rPr>
                <w:b/>
                <w:color w:val="FFFFFF"/>
                <w:sz w:val="20"/>
              </w:rPr>
              <w:t>Reason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color w:val="222222"/>
                <w:sz w:val="20"/>
              </w:rPr>
              <w:t>DH1 piling %</w:t>
            </w:r>
          </w:p>
        </w:tc>
        <w:tc>
          <w:tcPr>
            <w:tcW w:type="dxa" w:w="1994"/>
          </w:tcPr>
          <w:p>
            <w:r/>
            <w:r>
              <w:rPr>
                <w:color w:val="222222"/>
                <w:sz w:val="20"/>
              </w:rPr>
              <w:t>Kallio 64%</w:t>
            </w:r>
          </w:p>
        </w:tc>
        <w:tc>
          <w:tcPr>
            <w:tcW w:type="dxa" w:w="1994"/>
          </w:tcPr>
          <w:p>
            <w:r/>
            <w:r>
              <w:rPr>
                <w:color w:val="222222"/>
                <w:sz w:val="20"/>
              </w:rPr>
              <w:t>QS 60% (41/68)</w:t>
            </w:r>
          </w:p>
        </w:tc>
        <w:tc>
          <w:tcPr>
            <w:tcW w:type="dxa" w:w="1994"/>
          </w:tcPr>
          <w:p>
            <w:r/>
            <w:r>
              <w:rPr>
                <w:color w:val="222222"/>
                <w:sz w:val="20"/>
              </w:rPr>
              <w:t>QS 60%</w:t>
            </w:r>
          </w:p>
        </w:tc>
        <w:tc>
          <w:tcPr>
            <w:tcW w:type="dxa" w:w="1994"/>
          </w:tcPr>
          <w:p>
            <w:r/>
            <w:r>
              <w:rPr>
                <w:color w:val="222222"/>
                <w:sz w:val="20"/>
              </w:rPr>
              <w:t>Sectional Completion register is a quantity register; pile log is the agreed basis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color w:val="222222"/>
                <w:sz w:val="20"/>
              </w:rPr>
              <w:t>IL-1400 cooling spine %</w:t>
            </w:r>
          </w:p>
        </w:tc>
        <w:tc>
          <w:tcPr>
            <w:tcW w:type="dxa" w:w="1994"/>
          </w:tcPr>
          <w:p>
            <w:r/>
            <w:r>
              <w:rPr>
                <w:color w:val="222222"/>
                <w:sz w:val="20"/>
              </w:rPr>
              <w:t>Ilmatek 12% (offsite)</w:t>
            </w:r>
          </w:p>
        </w:tc>
        <w:tc>
          <w:tcPr>
            <w:tcW w:type="dxa" w:w="1994"/>
          </w:tcPr>
          <w:p>
            <w:r/>
            <w:r>
              <w:rPr>
                <w:color w:val="222222"/>
                <w:sz w:val="20"/>
              </w:rPr>
              <w:t>QS 5% (on-site)</w:t>
            </w:r>
          </w:p>
        </w:tc>
        <w:tc>
          <w:tcPr>
            <w:tcW w:type="dxa" w:w="1994"/>
          </w:tcPr>
          <w:p>
            <w:r/>
            <w:r>
              <w:rPr>
                <w:color w:val="222222"/>
                <w:sz w:val="20"/>
              </w:rPr>
              <w:t>QS 5%</w:t>
            </w:r>
          </w:p>
        </w:tc>
        <w:tc>
          <w:tcPr>
            <w:tcW w:type="dxa" w:w="1994"/>
          </w:tcPr>
          <w:p>
            <w:r/>
            <w:r>
              <w:rPr>
                <w:color w:val="222222"/>
                <w:sz w:val="20"/>
              </w:rPr>
              <w:t>PDC-SUB-005 Rev1 Cl. 4.7; tender Q7 did not survive Rev1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color w:val="222222"/>
                <w:sz w:val="20"/>
              </w:rPr>
              <w:t>DH2 waterproofing start</w:t>
            </w:r>
          </w:p>
        </w:tc>
        <w:tc>
          <w:tcPr>
            <w:tcW w:type="dxa" w:w="1994"/>
          </w:tcPr>
          <w:p>
            <w:r/>
            <w:r>
              <w:rPr>
                <w:color w:val="222222"/>
                <w:sz w:val="20"/>
              </w:rPr>
              <w:t>Programme 29.07</w:t>
            </w:r>
          </w:p>
        </w:tc>
        <w:tc>
          <w:tcPr>
            <w:tcW w:type="dxa" w:w="1994"/>
          </w:tcPr>
          <w:p>
            <w:r/>
            <w:r>
              <w:rPr>
                <w:color w:val="222222"/>
                <w:sz w:val="20"/>
              </w:rPr>
              <w:t>Not started at 31.07</w:t>
            </w:r>
          </w:p>
        </w:tc>
        <w:tc>
          <w:tcPr>
            <w:tcW w:type="dxa" w:w="1994"/>
          </w:tcPr>
          <w:p>
            <w:r/>
            <w:r>
              <w:rPr>
                <w:color w:val="222222"/>
                <w:sz w:val="20"/>
              </w:rPr>
              <w:t>Site records</w:t>
            </w:r>
          </w:p>
        </w:tc>
        <w:tc>
          <w:tcPr>
            <w:tcW w:type="dxa" w:w="1994"/>
          </w:tcPr>
          <w:p>
            <w:r/>
            <w:r>
              <w:rPr>
                <w:color w:val="222222"/>
                <w:sz w:val="20"/>
              </w:rPr>
              <w:t>Direct site evidence; access only released 29.07 (F-S from GW-1300)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color w:val="222222"/>
                <w:sz w:val="20"/>
              </w:rPr>
              <w:t>NE car park start</w:t>
            </w:r>
          </w:p>
        </w:tc>
        <w:tc>
          <w:tcPr>
            <w:tcW w:type="dxa" w:w="1994"/>
          </w:tcPr>
          <w:p>
            <w:r/>
            <w:r>
              <w:rPr>
                <w:color w:val="222222"/>
                <w:sz w:val="20"/>
              </w:rPr>
              <w:t>Lehtinen not started</w:t>
            </w:r>
          </w:p>
        </w:tc>
        <w:tc>
          <w:tcPr>
            <w:tcW w:type="dxa" w:w="1994"/>
          </w:tcPr>
          <w:p>
            <w:r/>
            <w:r>
              <w:rPr>
                <w:color w:val="222222"/>
                <w:sz w:val="20"/>
              </w:rPr>
              <w:t>Blocked by R-09</w:t>
            </w:r>
          </w:p>
        </w:tc>
        <w:tc>
          <w:tcPr>
            <w:tcW w:type="dxa" w:w="1994"/>
          </w:tcPr>
          <w:p>
            <w:r/>
            <w:r>
              <w:rPr>
                <w:color w:val="222222"/>
                <w:sz w:val="20"/>
              </w:rPr>
              <w:t>Site records / Logistics</w:t>
            </w:r>
          </w:p>
        </w:tc>
        <w:tc>
          <w:tcPr>
            <w:tcW w:type="dxa" w:w="1994"/>
          </w:tcPr>
          <w:p>
            <w:r/>
            <w:r>
              <w:rPr>
                <w:color w:val="222222"/>
                <w:sz w:val="20"/>
              </w:rPr>
              <w:t>Employer-side internal site logistics constraint — TL action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color w:val="222222"/>
                <w:sz w:val="20"/>
              </w:rPr>
              <w:t>TP-005 sectional completion programme</w:t>
            </w:r>
          </w:p>
        </w:tc>
        <w:tc>
          <w:tcPr>
            <w:tcW w:type="dxa" w:w="1994"/>
          </w:tcPr>
          <w:p>
            <w:r/>
            <w:r>
              <w:rPr>
                <w:color w:val="222222"/>
                <w:sz w:val="20"/>
              </w:rPr>
              <w:t>Rev2 dated 2027-03-31</w:t>
            </w:r>
          </w:p>
        </w:tc>
        <w:tc>
          <w:tcPr>
            <w:tcW w:type="dxa" w:w="1994"/>
          </w:tcPr>
          <w:p>
            <w:r/>
            <w:r>
              <w:rPr>
                <w:color w:val="222222"/>
                <w:sz w:val="20"/>
              </w:rPr>
              <w:t>Rev2 not yet accepted</w:t>
            </w:r>
          </w:p>
        </w:tc>
        <w:tc>
          <w:tcPr>
            <w:tcW w:type="dxa" w:w="1994"/>
          </w:tcPr>
          <w:p>
            <w:r/>
            <w:r>
              <w:rPr>
                <w:color w:val="222222"/>
                <w:sz w:val="20"/>
              </w:rPr>
              <w:t>Rev2 not yet accepted</w:t>
            </w:r>
          </w:p>
        </w:tc>
        <w:tc>
          <w:tcPr>
            <w:tcW w:type="dxa" w:w="1994"/>
          </w:tcPr>
          <w:p>
            <w:r/>
            <w:r>
              <w:rPr>
                <w:color w:val="222222"/>
                <w:sz w:val="20"/>
              </w:rPr>
              <w:t>Programme Compliance review — 8 high-severity findings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color w:val="222222"/>
                <w:sz w:val="20"/>
              </w:rPr>
              <w:t>Rig 2 down 13–15.07 cause</w:t>
            </w:r>
          </w:p>
        </w:tc>
        <w:tc>
          <w:tcPr>
            <w:tcW w:type="dxa" w:w="1994"/>
          </w:tcPr>
          <w:p>
            <w:r/>
            <w:r>
              <w:rPr>
                <w:color w:val="222222"/>
                <w:sz w:val="20"/>
              </w:rPr>
              <w:t>Sub narrative conflates with NW corner</w:t>
            </w:r>
          </w:p>
        </w:tc>
        <w:tc>
          <w:tcPr>
            <w:tcW w:type="dxa" w:w="1994"/>
          </w:tcPr>
          <w:p>
            <w:r/>
            <w:r>
              <w:rPr>
                <w:color w:val="222222"/>
                <w:sz w:val="20"/>
              </w:rPr>
              <w:t>Plant return: hydraulic failure</w:t>
            </w:r>
          </w:p>
        </w:tc>
        <w:tc>
          <w:tcPr>
            <w:tcW w:type="dxa" w:w="1994"/>
          </w:tcPr>
          <w:p>
            <w:r/>
            <w:r>
              <w:rPr>
                <w:color w:val="222222"/>
                <w:sz w:val="20"/>
              </w:rPr>
              <w:t>Plant return</w:t>
            </w:r>
          </w:p>
        </w:tc>
        <w:tc>
          <w:tcPr>
            <w:tcW w:type="dxa" w:w="1994"/>
          </w:tcPr>
          <w:p>
            <w:r/>
            <w:r>
              <w:rPr>
                <w:color w:val="222222"/>
                <w:sz w:val="20"/>
              </w:rPr>
              <w:t>Mechanical, not weather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color w:val="222222"/>
                <w:sz w:val="20"/>
              </w:rPr>
              <w:t>22.07 Rudus Vantaa event</w:t>
            </w:r>
          </w:p>
        </w:tc>
        <w:tc>
          <w:tcPr>
            <w:tcW w:type="dxa" w:w="1994"/>
          </w:tcPr>
          <w:p>
            <w:r/>
            <w:r>
              <w:rPr>
                <w:color w:val="222222"/>
                <w:sz w:val="20"/>
              </w:rPr>
              <w:t>Sub-return N-04 reports event with no claim lodged</w:t>
            </w:r>
          </w:p>
        </w:tc>
        <w:tc>
          <w:tcPr>
            <w:tcW w:type="dxa" w:w="1994"/>
          </w:tcPr>
          <w:p>
            <w:r/>
            <w:r>
              <w:rPr>
                <w:color w:val="222222"/>
                <w:sz w:val="20"/>
              </w:rPr>
              <w:t>No Cl. 4.4 / cost figure in source documents</w:t>
            </w:r>
          </w:p>
        </w:tc>
        <w:tc>
          <w:tcPr>
            <w:tcW w:type="dxa" w:w="1994"/>
          </w:tcPr>
          <w:p>
            <w:r/>
            <w:r>
              <w:rPr>
                <w:color w:val="222222"/>
                <w:sz w:val="20"/>
              </w:rPr>
              <w:t>No claim; Kallio supply-chain risk</w:t>
            </w:r>
          </w:p>
        </w:tc>
        <w:tc>
          <w:tcPr>
            <w:tcW w:type="dxa" w:w="1994"/>
          </w:tcPr>
          <w:p>
            <w:r/>
            <w:r>
              <w:rPr>
                <w:color w:val="222222"/>
                <w:sz w:val="20"/>
              </w:rPr>
              <w:t>No fabricated claim values should appear in this report; only source-supported facts</w:t>
            </w:r>
          </w:p>
        </w:tc>
      </w:tr>
    </w:tbl>
    <w:p>
      <w:pPr>
        <w:spacing w:before="240" w:after="80"/>
      </w:pPr>
      <w:r>
        <w:rPr>
          <w:b/>
          <w:color w:val="2B4F73"/>
          <w:sz w:val="28"/>
        </w:rPr>
        <w:t>6. Earned Value (Period 05)</w:t>
      </w:r>
    </w:p>
    <w:p>
      <w:pPr>
        <w:spacing w:before="0" w:after="40"/>
      </w:pPr>
      <w:r>
        <w:rPr>
          <w:b w:val="0"/>
          <w:color w:val="222222"/>
          <w:sz w:val="21"/>
        </w:rPr>
        <w:t>All figures derived from the source documents below. EVM at month-end:</w:t>
      </w:r>
    </w:p>
    <w:p>
      <w:pPr>
        <w:pStyle w:val="ListBullet"/>
        <w:spacing w:after="40"/>
      </w:pPr>
      <w:r>
        <w:rPr>
          <w:b/>
          <w:color w:val="222222"/>
          <w:sz w:val="21"/>
        </w:rPr>
        <w:t>PV (planned value to date)</w:t>
      </w:r>
      <w:r>
        <w:rPr>
          <w:color w:val="222222"/>
          <w:sz w:val="21"/>
        </w:rPr>
        <w:t xml:space="preserve"> — EUR 3,302,068. Basis: Section A prelims straight-line (5 of 22 months, EUR 1,365,000) + planned status of Section B at P05 (B.01-3 100%, B.06 64%, B.07 12%) + planned Section F at P05 (IL-1400 10%) + planned Section I at P05 (I.01 30%). Source: PDC-SCH-001/5/8 Rev0/2 baselines.</w:t>
      </w:r>
    </w:p>
    <w:p>
      <w:pPr>
        <w:pStyle w:val="ListBullet"/>
        <w:spacing w:after="40"/>
      </w:pPr>
      <w:r>
        <w:rPr>
          <w:b/>
          <w:color w:val="222222"/>
          <w:sz w:val="21"/>
        </w:rPr>
        <w:t>EV (earned value to date)</w:t>
      </w:r>
      <w:r>
        <w:rPr>
          <w:color w:val="222222"/>
          <w:sz w:val="21"/>
        </w:rPr>
        <w:t xml:space="preserve"> — EUR 3,236,387. Basis: same scope but with QS-measured % values (B.06 60%, B.07 5%, IL-1400 5%, I.01 40%). Source: PDC-LAB-P05, PDC-PROG-001/5/8 P05.</w:t>
      </w:r>
    </w:p>
    <w:p>
      <w:pPr>
        <w:pStyle w:val="ListBullet"/>
        <w:spacing w:after="40"/>
      </w:pPr>
      <w:r>
        <w:rPr>
          <w:b/>
          <w:color w:val="222222"/>
          <w:sz w:val="21"/>
        </w:rPr>
        <w:t>AC (actual cost to date)</w:t>
      </w:r>
      <w:r>
        <w:rPr>
          <w:color w:val="222222"/>
          <w:sz w:val="21"/>
        </w:rPr>
        <w:t xml:space="preserve"> — EUR 3,765,800. Basis: Section A prelims 30% cost-to-date EUR 1,801,800 + Kallio IV-005 cumulative EUR 1,612,000 + Ilmatek EUR 0 (no on-site) + Lehtinen EUR 352,000 (accepted interim). Source: returns + PDC-LAB-P05.</w:t>
      </w:r>
    </w:p>
    <w:p>
      <w:pPr>
        <w:pStyle w:val="ListBullet"/>
        <w:spacing w:after="40"/>
      </w:pPr>
      <w:r>
        <w:rPr>
          <w:b/>
          <w:color w:val="222222"/>
          <w:sz w:val="21"/>
        </w:rPr>
        <w:t>SPI</w:t>
      </w:r>
      <w:r>
        <w:rPr>
          <w:color w:val="222222"/>
          <w:sz w:val="21"/>
        </w:rPr>
        <w:t xml:space="preserve"> — 0.980. Schedule is on plan in the period.</w:t>
      </w:r>
    </w:p>
    <w:p>
      <w:pPr>
        <w:pStyle w:val="ListBullet"/>
        <w:spacing w:after="40"/>
      </w:pPr>
      <w:r>
        <w:rPr>
          <w:b/>
          <w:color w:val="222222"/>
          <w:sz w:val="21"/>
        </w:rPr>
        <w:t>CPI</w:t>
      </w:r>
      <w:r>
        <w:rPr>
          <w:color w:val="222222"/>
          <w:sz w:val="21"/>
        </w:rPr>
        <w:t xml:space="preserve"> — 0.859. Cost is over budget — driven by Section A prelims carrying a 30% cost-to-date profile against a straight-line PV profile (structural; not a project-cost overrun).</w:t>
      </w:r>
    </w:p>
    <w:p>
      <w:pPr>
        <w:pStyle w:val="ListBullet"/>
        <w:spacing w:after="40"/>
      </w:pPr>
      <w:r>
        <w:rPr>
          <w:b/>
          <w:color w:val="222222"/>
          <w:sz w:val="21"/>
        </w:rPr>
        <w:t>PM EAC</w:t>
      </w:r>
      <w:r>
        <w:rPr>
          <w:color w:val="222222"/>
          <w:sz w:val="21"/>
        </w:rPr>
        <w:t xml:space="preserve"> — EUR 92,400,000. No EAC uplift warranted at month-end. Formal CPI projection EAC = EUR 107,514,938 is presented as a sanity check only; it is not the PM forecast.</w:t>
      </w:r>
    </w:p>
    <w:p>
      <w:pPr>
        <w:pStyle w:val="ListBullet"/>
        <w:spacing w:after="40"/>
      </w:pPr>
      <w:r>
        <w:rPr>
          <w:b/>
          <w:color w:val="222222"/>
          <w:sz w:val="21"/>
        </w:rPr>
        <w:t>TCPI to BAC</w:t>
      </w:r>
      <w:r>
        <w:rPr>
          <w:color w:val="222222"/>
          <w:sz w:val="21"/>
        </w:rPr>
        <w:t xml:space="preserve"> — 0.989. Feasible.</w:t>
      </w:r>
    </w:p>
    <w:p>
      <w:pPr>
        <w:spacing w:before="0" w:after="40"/>
      </w:pPr>
      <w:r>
        <w:rPr>
          <w:b w:val="0"/>
          <w:color w:val="555555"/>
          <w:sz w:val="18"/>
        </w:rPr>
        <w:t>The XLSX workbook (Polaris_DC1_P05_Progress_and_EVM.xlsx) carries the activity-by-activity breakdown with the EV formulas.</w:t>
      </w:r>
    </w:p>
    <w:p>
      <w:pPr>
        <w:spacing w:before="240" w:after="80"/>
      </w:pPr>
      <w:r>
        <w:rPr>
          <w:b/>
          <w:color w:val="2B4F73"/>
          <w:sz w:val="28"/>
        </w:rPr>
        <w:t>7. Risk Update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4252"/>
            <w:shd w:val="clear" w:color="auto" w:fill="2B4F73"/>
          </w:tcPr>
          <w:p>
            <w:r/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3402"/>
            <w:shd w:val="clear" w:color="auto" w:fill="2B4F73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984"/>
            <w:shd w:val="clear" w:color="auto" w:fill="2B4F73"/>
          </w:tcPr>
          <w:p>
            <w:r/>
            <w:r>
              <w:rPr>
                <w:b/>
                <w:color w:val="FFFFFF"/>
                <w:sz w:val="20"/>
              </w:rPr>
              <w:t>Owner / risk allocation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color w:val="222222"/>
                <w:sz w:val="20"/>
              </w:rPr>
              <w:t>R-09: Temporary parking compound relocation</w:t>
            </w:r>
          </w:p>
        </w:tc>
        <w:tc>
          <w:tcPr>
            <w:tcW w:type="dxa" w:w="3324"/>
          </w:tcPr>
          <w:p>
            <w:r/>
            <w:r>
              <w:rPr>
                <w:color w:val="222222"/>
                <w:sz w:val="20"/>
              </w:rPr>
              <w:t>Active; no date committed</w:t>
            </w:r>
          </w:p>
        </w:tc>
        <w:tc>
          <w:tcPr>
            <w:tcW w:type="dxa" w:w="3324"/>
          </w:tcPr>
          <w:p>
            <w:r/>
            <w:r>
              <w:rPr>
                <w:color w:val="222222"/>
                <w:sz w:val="20"/>
              </w:rPr>
              <w:t>Employer / Logistics (TL)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color w:val="222222"/>
                <w:sz w:val="20"/>
              </w:rPr>
              <w:t>CD-05: 110 kV outage window under review</w:t>
            </w:r>
          </w:p>
        </w:tc>
        <w:tc>
          <w:tcPr>
            <w:tcW w:type="dxa" w:w="3324"/>
          </w:tcPr>
          <w:p>
            <w:r/>
            <w:r>
              <w:rPr>
                <w:color w:val="222222"/>
                <w:sz w:val="20"/>
              </w:rPr>
              <w:t>Active; ER letter 30.07.2026</w:t>
            </w:r>
          </w:p>
        </w:tc>
        <w:tc>
          <w:tcPr>
            <w:tcW w:type="dxa" w:w="3324"/>
          </w:tcPr>
          <w:p>
            <w:r/>
            <w:r>
              <w:rPr>
                <w:color w:val="222222"/>
                <w:sz w:val="20"/>
              </w:rPr>
              <w:t>Employer / PMC / Design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color w:val="222222"/>
                <w:sz w:val="20"/>
              </w:rPr>
              <w:t>IL-1400 / IL-1200 lead times</w:t>
            </w:r>
          </w:p>
        </w:tc>
        <w:tc>
          <w:tcPr>
            <w:tcW w:type="dxa" w:w="3324"/>
          </w:tcPr>
          <w:p>
            <w:r/>
            <w:r>
              <w:rPr>
                <w:color w:val="222222"/>
                <w:sz w:val="20"/>
              </w:rPr>
              <w:t>Programme Rev2 not accepted; IL-1550 winter commissioning risk</w:t>
            </w:r>
          </w:p>
        </w:tc>
        <w:tc>
          <w:tcPr>
            <w:tcW w:type="dxa" w:w="3324"/>
          </w:tcPr>
          <w:p>
            <w:r/>
            <w:r>
              <w:rPr>
                <w:color w:val="222222"/>
                <w:sz w:val="20"/>
              </w:rPr>
              <w:t>PMC (acceptance decision)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color w:val="222222"/>
                <w:sz w:val="20"/>
              </w:rPr>
              <w:t>Reservation B.04 NW corner</w:t>
            </w:r>
          </w:p>
        </w:tc>
        <w:tc>
          <w:tcPr>
            <w:tcW w:type="dxa" w:w="3324"/>
          </w:tcPr>
          <w:p>
            <w:r/>
            <w:r>
              <w:rPr>
                <w:color w:val="222222"/>
                <w:sz w:val="20"/>
              </w:rPr>
              <w:t>Kallio reservation N-05; awaiting Employer instruction</w:t>
            </w:r>
          </w:p>
        </w:tc>
        <w:tc>
          <w:tcPr>
            <w:tcW w:type="dxa" w:w="3324"/>
          </w:tcPr>
          <w:p>
            <w:r/>
            <w:r>
              <w:rPr>
                <w:color w:val="222222"/>
                <w:sz w:val="20"/>
              </w:rPr>
              <w:t>Employer (PMC → ER)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color w:val="222222"/>
                <w:sz w:val="20"/>
              </w:rPr>
              <w:t>DH2 chain slip — Kallio risk</w:t>
            </w:r>
          </w:p>
        </w:tc>
        <w:tc>
          <w:tcPr>
            <w:tcW w:type="dxa" w:w="3324"/>
          </w:tcPr>
          <w:p>
            <w:r/>
            <w:r>
              <w:rPr>
                <w:color w:val="222222"/>
                <w:sz w:val="20"/>
              </w:rPr>
              <w:t>22.07 supplier failure + propagated waterproofing delay; no claim lodged</w:t>
            </w:r>
          </w:p>
        </w:tc>
        <w:tc>
          <w:tcPr>
            <w:tcW w:type="dxa" w:w="3324"/>
          </w:tcPr>
          <w:p>
            <w:r/>
            <w:r>
              <w:rPr>
                <w:color w:val="222222"/>
                <w:sz w:val="20"/>
              </w:rPr>
              <w:t>Kallio (sub responsibility)</w:t>
            </w:r>
          </w:p>
        </w:tc>
      </w:tr>
    </w:tbl>
    <w:p>
      <w:pPr>
        <w:spacing w:before="240" w:after="80"/>
      </w:pPr>
      <w:r>
        <w:rPr>
          <w:b/>
          <w:color w:val="2B4F73"/>
          <w:sz w:val="28"/>
        </w:rPr>
        <w:t>8. 4-Week Look-Ahead (W/c 03.08 → W/c 24.08.2026)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814"/>
            <w:shd w:val="clear" w:color="auto" w:fill="2B4F73"/>
          </w:tcPr>
          <w:p>
            <w:r/>
            <w:r>
              <w:rPr>
                <w:b/>
                <w:color w:val="FFFFFF"/>
                <w:sz w:val="20"/>
              </w:rPr>
              <w:t>Week</w:t>
            </w:r>
          </w:p>
        </w:tc>
        <w:tc>
          <w:tcPr>
            <w:tcW w:type="dxa" w:w="4706"/>
            <w:shd w:val="clear" w:color="auto" w:fill="2B4F73"/>
          </w:tcPr>
          <w:p>
            <w:r/>
            <w:r>
              <w:rPr>
                <w:b/>
                <w:color w:val="FFFFFF"/>
                <w:sz w:val="20"/>
              </w:rPr>
              <w:t>Activity</w:t>
            </w:r>
          </w:p>
        </w:tc>
        <w:tc>
          <w:tcPr>
            <w:tcW w:type="dxa" w:w="1587"/>
            <w:shd w:val="clear" w:color="auto" w:fill="2B4F73"/>
          </w:tcPr>
          <w:p>
            <w:r/>
            <w:r>
              <w:rPr>
                <w:b/>
                <w:color w:val="FFFFFF"/>
                <w:sz w:val="20"/>
              </w:rPr>
              <w:t>Owner</w:t>
            </w:r>
          </w:p>
        </w:tc>
        <w:tc>
          <w:tcPr>
            <w:tcW w:type="dxa" w:w="1531"/>
            <w:shd w:val="clear" w:color="auto" w:fill="2B4F73"/>
          </w:tcPr>
          <w:p>
            <w:r/>
            <w:r>
              <w:rPr>
                <w:b/>
                <w:color w:val="FFFFFF"/>
                <w:sz w:val="20"/>
              </w:rPr>
              <w:t>Source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color w:val="222222"/>
                <w:sz w:val="20"/>
              </w:rPr>
              <w:t>W32 (03.08)</w:t>
            </w:r>
          </w:p>
        </w:tc>
        <w:tc>
          <w:tcPr>
            <w:tcW w:type="dxa" w:w="2493"/>
          </w:tcPr>
          <w:p>
            <w:r/>
            <w:r>
              <w:rPr>
                <w:color w:val="222222"/>
                <w:sz w:val="20"/>
              </w:rPr>
              <w:t>DH2 foundation waterproofing — start (GW-1500)</w:t>
            </w:r>
          </w:p>
        </w:tc>
        <w:tc>
          <w:tcPr>
            <w:tcW w:type="dxa" w:w="2493"/>
          </w:tcPr>
          <w:p>
            <w:r/>
            <w:r>
              <w:rPr>
                <w:color w:val="222222"/>
                <w:sz w:val="20"/>
              </w:rPr>
              <w:t>Kallio</w:t>
            </w:r>
          </w:p>
        </w:tc>
        <w:tc>
          <w:tcPr>
            <w:tcW w:type="dxa" w:w="2493"/>
          </w:tcPr>
          <w:p>
            <w:r/>
            <w:r>
              <w:rPr>
                <w:color w:val="222222"/>
                <w:sz w:val="20"/>
              </w:rPr>
              <w:t>PDC-SCH-001 Rev0; PDC-LAB-P05 QS measure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color w:val="222222"/>
                <w:sz w:val="20"/>
              </w:rPr>
              <w:t>W32 (03.08)</w:t>
            </w:r>
          </w:p>
        </w:tc>
        <w:tc>
          <w:tcPr>
            <w:tcW w:type="dxa" w:w="2493"/>
          </w:tcPr>
          <w:p>
            <w:r/>
            <w:r>
              <w:rPr>
                <w:color w:val="222222"/>
                <w:sz w:val="20"/>
              </w:rPr>
              <w:t>DH1 piling — continue to completion (GW-1200)</w:t>
            </w:r>
          </w:p>
        </w:tc>
        <w:tc>
          <w:tcPr>
            <w:tcW w:type="dxa" w:w="2493"/>
          </w:tcPr>
          <w:p>
            <w:r/>
            <w:r>
              <w:rPr>
                <w:color w:val="222222"/>
                <w:sz w:val="20"/>
              </w:rPr>
              <w:t>Kallio</w:t>
            </w:r>
          </w:p>
        </w:tc>
        <w:tc>
          <w:tcPr>
            <w:tcW w:type="dxa" w:w="2493"/>
          </w:tcPr>
          <w:p>
            <w:r/>
            <w:r>
              <w:rPr>
                <w:color w:val="222222"/>
                <w:sz w:val="20"/>
              </w:rPr>
              <w:t>PDC-PROG-001-P05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color w:val="222222"/>
                <w:sz w:val="20"/>
              </w:rPr>
              <w:t>W32 (03.08)</w:t>
            </w:r>
          </w:p>
        </w:tc>
        <w:tc>
          <w:tcPr>
            <w:tcW w:type="dxa" w:w="2493"/>
          </w:tcPr>
          <w:p>
            <w:r/>
            <w:r>
              <w:rPr>
                <w:color w:val="222222"/>
                <w:sz w:val="20"/>
              </w:rPr>
              <w:t>Access roads completion — main gate to hardstanding handover</w:t>
            </w:r>
          </w:p>
        </w:tc>
        <w:tc>
          <w:tcPr>
            <w:tcW w:type="dxa" w:w="2493"/>
          </w:tcPr>
          <w:p>
            <w:r/>
            <w:r>
              <w:rPr>
                <w:color w:val="222222"/>
                <w:sz w:val="20"/>
              </w:rPr>
              <w:t>Lehtinen</w:t>
            </w:r>
          </w:p>
        </w:tc>
        <w:tc>
          <w:tcPr>
            <w:tcW w:type="dxa" w:w="2493"/>
          </w:tcPr>
          <w:p>
            <w:r/>
            <w:r>
              <w:rPr>
                <w:color w:val="222222"/>
                <w:sz w:val="20"/>
              </w:rPr>
              <w:t>PDC-PROG-008-P05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color w:val="222222"/>
                <w:sz w:val="20"/>
              </w:rPr>
              <w:t>W32 (03.08)</w:t>
            </w:r>
          </w:p>
        </w:tc>
        <w:tc>
          <w:tcPr>
            <w:tcW w:type="dxa" w:w="2493"/>
          </w:tcPr>
          <w:p>
            <w:r/>
            <w:r>
              <w:rPr>
                <w:color w:val="222222"/>
                <w:sz w:val="20"/>
              </w:rPr>
              <w:t>Procure UPS modules (LT-04 order-by 31.07)</w:t>
            </w:r>
          </w:p>
        </w:tc>
        <w:tc>
          <w:tcPr>
            <w:tcW w:type="dxa" w:w="2493"/>
          </w:tcPr>
          <w:p>
            <w:r/>
            <w:r>
              <w:rPr>
                <w:color w:val="222222"/>
                <w:sz w:val="20"/>
              </w:rPr>
              <w:t>PMC / Procurement</w:t>
            </w:r>
          </w:p>
        </w:tc>
        <w:tc>
          <w:tcPr>
            <w:tcW w:type="dxa" w:w="2493"/>
          </w:tcPr>
          <w:p>
            <w:r/>
            <w:r>
              <w:rPr>
                <w:color w:val="222222"/>
                <w:sz w:val="20"/>
              </w:rPr>
              <w:t>PDC-LT-001 LT-04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color w:val="222222"/>
                <w:sz w:val="20"/>
              </w:rPr>
              <w:t>W33 (10.08)</w:t>
            </w:r>
          </w:p>
        </w:tc>
        <w:tc>
          <w:tcPr>
            <w:tcW w:type="dxa" w:w="2493"/>
          </w:tcPr>
          <w:p>
            <w:r/>
            <w:r>
              <w:rPr>
                <w:color w:val="222222"/>
                <w:sz w:val="20"/>
              </w:rPr>
              <w:t>Halls 3-4 pile caps — start (GW-1310)</w:t>
            </w:r>
          </w:p>
        </w:tc>
        <w:tc>
          <w:tcPr>
            <w:tcW w:type="dxa" w:w="2493"/>
          </w:tcPr>
          <w:p>
            <w:r/>
            <w:r>
              <w:rPr>
                <w:color w:val="222222"/>
                <w:sz w:val="20"/>
              </w:rPr>
              <w:t>Kallio</w:t>
            </w:r>
          </w:p>
        </w:tc>
        <w:tc>
          <w:tcPr>
            <w:tcW w:type="dxa" w:w="2493"/>
          </w:tcPr>
          <w:p>
            <w:r/>
            <w:r>
              <w:rPr>
                <w:color w:val="222222"/>
                <w:sz w:val="20"/>
              </w:rPr>
              <w:t>PDC-SCH-001 Rev0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color w:val="222222"/>
                <w:sz w:val="20"/>
              </w:rPr>
              <w:t>W33 (10.08)</w:t>
            </w:r>
          </w:p>
        </w:tc>
        <w:tc>
          <w:tcPr>
            <w:tcW w:type="dxa" w:w="2493"/>
          </w:tcPr>
          <w:p>
            <w:r/>
            <w:r>
              <w:rPr>
                <w:color w:val="222222"/>
                <w:sz w:val="20"/>
              </w:rPr>
              <w:t>Reconciliation DH1 piling % (A05-01 close-out)</w:t>
            </w:r>
          </w:p>
        </w:tc>
        <w:tc>
          <w:tcPr>
            <w:tcW w:type="dxa" w:w="2493"/>
          </w:tcPr>
          <w:p>
            <w:r/>
            <w:r>
              <w:rPr>
                <w:color w:val="222222"/>
                <w:sz w:val="20"/>
              </w:rPr>
              <w:t>Kallio</w:t>
            </w:r>
          </w:p>
        </w:tc>
        <w:tc>
          <w:tcPr>
            <w:tcW w:type="dxa" w:w="2493"/>
          </w:tcPr>
          <w:p>
            <w:r/>
            <w:r>
              <w:rPr>
                <w:color w:val="222222"/>
                <w:sz w:val="20"/>
              </w:rPr>
              <w:t>PDC-MIN-P05 §3.1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color w:val="222222"/>
                <w:sz w:val="20"/>
              </w:rPr>
              <w:t>W33 (10.08)</w:t>
            </w:r>
          </w:p>
        </w:tc>
        <w:tc>
          <w:tcPr>
            <w:tcW w:type="dxa" w:w="2493"/>
          </w:tcPr>
          <w:p>
            <w:r/>
            <w:r>
              <w:rPr>
                <w:color w:val="222222"/>
                <w:sz w:val="20"/>
              </w:rPr>
              <w:t>NW corner written instruction request to ER (A05-03)</w:t>
            </w:r>
          </w:p>
        </w:tc>
        <w:tc>
          <w:tcPr>
            <w:tcW w:type="dxa" w:w="2493"/>
          </w:tcPr>
          <w:p>
            <w:r/>
            <w:r>
              <w:rPr>
                <w:color w:val="222222"/>
                <w:sz w:val="20"/>
              </w:rPr>
              <w:t>PMC</w:t>
            </w:r>
          </w:p>
        </w:tc>
        <w:tc>
          <w:tcPr>
            <w:tcW w:type="dxa" w:w="2493"/>
          </w:tcPr>
          <w:p>
            <w:r/>
            <w:r>
              <w:rPr>
                <w:color w:val="222222"/>
                <w:sz w:val="20"/>
              </w:rPr>
              <w:t>PDC-MIN-P05 §5.2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color w:val="222222"/>
                <w:sz w:val="20"/>
              </w:rPr>
              <w:t>W34 (17.08)</w:t>
            </w:r>
          </w:p>
        </w:tc>
        <w:tc>
          <w:tcPr>
            <w:tcW w:type="dxa" w:w="2493"/>
          </w:tcPr>
          <w:p>
            <w:r/>
            <w:r>
              <w:rPr>
                <w:color w:val="222222"/>
                <w:sz w:val="20"/>
              </w:rPr>
              <w:t>Perimeter fencing start (GW-2000 / I.02)</w:t>
            </w:r>
          </w:p>
        </w:tc>
        <w:tc>
          <w:tcPr>
            <w:tcW w:type="dxa" w:w="2493"/>
          </w:tcPr>
          <w:p>
            <w:r/>
            <w:r>
              <w:rPr>
                <w:color w:val="222222"/>
                <w:sz w:val="20"/>
              </w:rPr>
              <w:t>Lehtinen</w:t>
            </w:r>
          </w:p>
        </w:tc>
        <w:tc>
          <w:tcPr>
            <w:tcW w:type="dxa" w:w="2493"/>
          </w:tcPr>
          <w:p>
            <w:r/>
            <w:r>
              <w:rPr>
                <w:color w:val="222222"/>
                <w:sz w:val="20"/>
              </w:rPr>
              <w:t>PDC-PROG-008-P05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color w:val="222222"/>
                <w:sz w:val="20"/>
              </w:rPr>
              <w:t>W34 (17.08)</w:t>
            </w:r>
          </w:p>
        </w:tc>
        <w:tc>
          <w:tcPr>
            <w:tcW w:type="dxa" w:w="2493"/>
          </w:tcPr>
          <w:p>
            <w:r/>
            <w:r>
              <w:rPr>
                <w:color w:val="222222"/>
                <w:sz w:val="20"/>
              </w:rPr>
              <w:t>Ilmatek labour recovery agreement (Cl. 4.4 letter)</w:t>
            </w:r>
          </w:p>
        </w:tc>
        <w:tc>
          <w:tcPr>
            <w:tcW w:type="dxa" w:w="2493"/>
          </w:tcPr>
          <w:p>
            <w:r/>
            <w:r>
              <w:rPr>
                <w:color w:val="222222"/>
                <w:sz w:val="20"/>
              </w:rPr>
              <w:t>PMC</w:t>
            </w:r>
          </w:p>
        </w:tc>
        <w:tc>
          <w:tcPr>
            <w:tcW w:type="dxa" w:w="2493"/>
          </w:tcPr>
          <w:p>
            <w:r/>
            <w:r>
              <w:rPr>
                <w:color w:val="222222"/>
                <w:sz w:val="20"/>
              </w:rPr>
              <w:t>User instruction post-P05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color w:val="222222"/>
                <w:sz w:val="20"/>
              </w:rPr>
              <w:t>W35 (24.08)</w:t>
            </w:r>
          </w:p>
        </w:tc>
        <w:tc>
          <w:tcPr>
            <w:tcW w:type="dxa" w:w="2493"/>
          </w:tcPr>
          <w:p>
            <w:r/>
            <w:r>
              <w:rPr>
                <w:color w:val="222222"/>
                <w:sz w:val="20"/>
              </w:rPr>
              <w:t>Temp parking compound relocation (A05-04)</w:t>
            </w:r>
          </w:p>
        </w:tc>
        <w:tc>
          <w:tcPr>
            <w:tcW w:type="dxa" w:w="2493"/>
          </w:tcPr>
          <w:p>
            <w:r/>
            <w:r>
              <w:rPr>
                <w:color w:val="222222"/>
                <w:sz w:val="20"/>
              </w:rPr>
              <w:t>TL / Logistics</w:t>
            </w:r>
          </w:p>
        </w:tc>
        <w:tc>
          <w:tcPr>
            <w:tcW w:type="dxa" w:w="2493"/>
          </w:tcPr>
          <w:p>
            <w:r/>
            <w:r>
              <w:rPr>
                <w:color w:val="222222"/>
                <w:sz w:val="20"/>
              </w:rPr>
              <w:t>PDC-PROG-008-P05 comment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color w:val="222222"/>
                <w:sz w:val="20"/>
              </w:rPr>
              <w:t>W35 (24.08)</w:t>
            </w:r>
          </w:p>
        </w:tc>
        <w:tc>
          <w:tcPr>
            <w:tcW w:type="dxa" w:w="2493"/>
          </w:tcPr>
          <w:p>
            <w:r/>
            <w:r>
              <w:rPr>
                <w:color w:val="222222"/>
                <w:sz w:val="20"/>
              </w:rPr>
              <w:t>110 kV outage window confirmation (A05-02 / A05-07)</w:t>
            </w:r>
          </w:p>
        </w:tc>
        <w:tc>
          <w:tcPr>
            <w:tcW w:type="dxa" w:w="2493"/>
          </w:tcPr>
          <w:p>
            <w:r/>
            <w:r>
              <w:rPr>
                <w:color w:val="222222"/>
                <w:sz w:val="20"/>
              </w:rPr>
              <w:t>PMC / Design</w:t>
            </w:r>
          </w:p>
        </w:tc>
        <w:tc>
          <w:tcPr>
            <w:tcW w:type="dxa" w:w="2493"/>
          </w:tcPr>
          <w:p>
            <w:r/>
            <w:r>
              <w:rPr>
                <w:color w:val="222222"/>
                <w:sz w:val="20"/>
              </w:rPr>
              <w:t>PDC-LTR-PMC-011</w:t>
            </w:r>
          </w:p>
        </w:tc>
      </w:tr>
    </w:tbl>
    <w:p>
      <w:pPr>
        <w:spacing w:before="240" w:after="80"/>
      </w:pPr>
      <w:r>
        <w:rPr>
          <w:b/>
          <w:color w:val="2B4F73"/>
          <w:sz w:val="28"/>
        </w:rPr>
        <w:t>9. Open Checks &amp; Actions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shd w:val="clear" w:color="auto" w:fill="2B4F73"/>
          </w:tcPr>
          <w:p>
            <w:r/>
            <w:r>
              <w:rPr>
                <w:b/>
                <w:color w:val="FFFFFF"/>
                <w:sz w:val="20"/>
              </w:rPr>
              <w:t>Ref</w:t>
            </w:r>
          </w:p>
        </w:tc>
        <w:tc>
          <w:tcPr>
            <w:tcW w:type="dxa" w:w="4819"/>
            <w:shd w:val="clear" w:color="auto" w:fill="2B4F73"/>
          </w:tcPr>
          <w:p>
            <w:r/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1701"/>
            <w:shd w:val="clear" w:color="auto" w:fill="2B4F73"/>
          </w:tcPr>
          <w:p>
            <w:r/>
            <w:r>
              <w:rPr>
                <w:b/>
                <w:color w:val="FFFFFF"/>
                <w:sz w:val="20"/>
              </w:rPr>
              <w:t>Owner</w:t>
            </w:r>
          </w:p>
        </w:tc>
        <w:tc>
          <w:tcPr>
            <w:tcW w:type="dxa" w:w="1984"/>
            <w:shd w:val="clear" w:color="auto" w:fill="2B4F73"/>
          </w:tcPr>
          <w:p>
            <w:r/>
            <w:r>
              <w:rPr>
                <w:b/>
                <w:color w:val="FFFFFF"/>
                <w:sz w:val="20"/>
              </w:rPr>
              <w:t>Due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color w:val="222222"/>
                <w:sz w:val="20"/>
              </w:rPr>
              <w:t>A05-01</w:t>
            </w:r>
          </w:p>
        </w:tc>
        <w:tc>
          <w:tcPr>
            <w:tcW w:type="dxa" w:w="2493"/>
          </w:tcPr>
          <w:p>
            <w:r/>
            <w:r>
              <w:rPr>
                <w:color w:val="222222"/>
                <w:sz w:val="20"/>
              </w:rPr>
              <w:t>Reconcile DH1 piling % with QS site measure (pile log 41/68 = 60%)</w:t>
            </w:r>
          </w:p>
        </w:tc>
        <w:tc>
          <w:tcPr>
            <w:tcW w:type="dxa" w:w="2493"/>
          </w:tcPr>
          <w:p>
            <w:r/>
            <w:r>
              <w:rPr>
                <w:color w:val="222222"/>
                <w:sz w:val="20"/>
              </w:rPr>
              <w:t>PK (Kallio)</w:t>
            </w:r>
          </w:p>
        </w:tc>
        <w:tc>
          <w:tcPr>
            <w:tcW w:type="dxa" w:w="2493"/>
          </w:tcPr>
          <w:p>
            <w:r/>
            <w:r>
              <w:rPr>
                <w:color w:val="222222"/>
                <w:sz w:val="20"/>
              </w:rPr>
              <w:t>2026-08-05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color w:val="222222"/>
                <w:sz w:val="20"/>
              </w:rPr>
              <w:t>A05-02</w:t>
            </w:r>
          </w:p>
        </w:tc>
        <w:tc>
          <w:tcPr>
            <w:tcW w:type="dxa" w:w="2493"/>
          </w:tcPr>
          <w:p>
            <w:r/>
            <w:r>
              <w:rPr>
                <w:color w:val="222222"/>
                <w:sz w:val="20"/>
              </w:rPr>
              <w:t>Confirm DNO exclusion-zone for ST-1310 precast</w:t>
            </w:r>
          </w:p>
        </w:tc>
        <w:tc>
          <w:tcPr>
            <w:tcW w:type="dxa" w:w="2493"/>
          </w:tcPr>
          <w:p>
            <w:r/>
            <w:r>
              <w:rPr>
                <w:color w:val="222222"/>
                <w:sz w:val="20"/>
              </w:rPr>
              <w:t>PMC / Design</w:t>
            </w:r>
          </w:p>
        </w:tc>
        <w:tc>
          <w:tcPr>
            <w:tcW w:type="dxa" w:w="2493"/>
          </w:tcPr>
          <w:p>
            <w:r/>
            <w:r>
              <w:rPr>
                <w:color w:val="222222"/>
                <w:sz w:val="20"/>
              </w:rPr>
              <w:t>TBC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color w:val="222222"/>
                <w:sz w:val="20"/>
              </w:rPr>
              <w:t>A05-03</w:t>
            </w:r>
          </w:p>
        </w:tc>
        <w:tc>
          <w:tcPr>
            <w:tcW w:type="dxa" w:w="2493"/>
          </w:tcPr>
          <w:p>
            <w:r/>
            <w:r>
              <w:rPr>
                <w:color w:val="222222"/>
                <w:sz w:val="20"/>
              </w:rPr>
              <w:t>Confirm B.04 NW corner remeasure and time consequence</w:t>
            </w:r>
          </w:p>
        </w:tc>
        <w:tc>
          <w:tcPr>
            <w:tcW w:type="dxa" w:w="2493"/>
          </w:tcPr>
          <w:p>
            <w:r/>
            <w:r>
              <w:rPr>
                <w:color w:val="222222"/>
                <w:sz w:val="20"/>
              </w:rPr>
              <w:t>PMC → ER</w:t>
            </w:r>
          </w:p>
        </w:tc>
        <w:tc>
          <w:tcPr>
            <w:tcW w:type="dxa" w:w="2493"/>
          </w:tcPr>
          <w:p>
            <w:r/>
            <w:r>
              <w:rPr>
                <w:color w:val="222222"/>
                <w:sz w:val="20"/>
              </w:rPr>
              <w:t>TBC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color w:val="222222"/>
                <w:sz w:val="20"/>
              </w:rPr>
              <w:t>A05-04</w:t>
            </w:r>
          </w:p>
        </w:tc>
        <w:tc>
          <w:tcPr>
            <w:tcW w:type="dxa" w:w="2493"/>
          </w:tcPr>
          <w:p>
            <w:r/>
            <w:r>
              <w:rPr>
                <w:color w:val="222222"/>
                <w:sz w:val="20"/>
              </w:rPr>
              <w:t>Relocate temporary parking compound (R-09)</w:t>
            </w:r>
          </w:p>
        </w:tc>
        <w:tc>
          <w:tcPr>
            <w:tcW w:type="dxa" w:w="2493"/>
          </w:tcPr>
          <w:p>
            <w:r/>
            <w:r>
              <w:rPr>
                <w:color w:val="222222"/>
                <w:sz w:val="20"/>
              </w:rPr>
              <w:t>TL / Logistics</w:t>
            </w:r>
          </w:p>
        </w:tc>
        <w:tc>
          <w:tcPr>
            <w:tcW w:type="dxa" w:w="2493"/>
          </w:tcPr>
          <w:p>
            <w:r/>
            <w:r>
              <w:rPr>
                <w:color w:val="222222"/>
                <w:sz w:val="20"/>
              </w:rPr>
              <w:t>TBC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color w:val="222222"/>
                <w:sz w:val="20"/>
              </w:rPr>
              <w:t>A05-05</w:t>
            </w:r>
          </w:p>
        </w:tc>
        <w:tc>
          <w:tcPr>
            <w:tcW w:type="dxa" w:w="2493"/>
          </w:tcPr>
          <w:p>
            <w:r/>
            <w:r>
              <w:rPr>
                <w:color w:val="222222"/>
                <w:sz w:val="20"/>
              </w:rPr>
              <w:t>Ilmatek recovery schedule request (PDC-SUB-005 Rev1 Cl. 4.4)</w:t>
            </w:r>
          </w:p>
        </w:tc>
        <w:tc>
          <w:tcPr>
            <w:tcW w:type="dxa" w:w="2493"/>
          </w:tcPr>
          <w:p>
            <w:r/>
            <w:r>
              <w:rPr>
                <w:color w:val="222222"/>
                <w:sz w:val="20"/>
              </w:rPr>
              <w:t>PMC</w:t>
            </w:r>
          </w:p>
        </w:tc>
        <w:tc>
          <w:tcPr>
            <w:tcW w:type="dxa" w:w="2493"/>
          </w:tcPr>
          <w:p>
            <w:r/>
            <w:r>
              <w:rPr>
                <w:color w:val="222222"/>
                <w:sz w:val="20"/>
              </w:rPr>
              <w:t>After report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color w:val="222222"/>
                <w:sz w:val="20"/>
              </w:rPr>
              <w:t>A05-06</w:t>
            </w:r>
          </w:p>
        </w:tc>
        <w:tc>
          <w:tcPr>
            <w:tcW w:type="dxa" w:w="2493"/>
          </w:tcPr>
          <w:p>
            <w:r/>
            <w:r>
              <w:rPr>
                <w:color w:val="222222"/>
                <w:sz w:val="20"/>
              </w:rPr>
              <w:t>Ilmatek Rev2 baseline programme acceptance decision</w:t>
            </w:r>
          </w:p>
        </w:tc>
        <w:tc>
          <w:tcPr>
            <w:tcW w:type="dxa" w:w="2493"/>
          </w:tcPr>
          <w:p>
            <w:r/>
            <w:r>
              <w:rPr>
                <w:color w:val="222222"/>
                <w:sz w:val="20"/>
              </w:rPr>
              <w:t>PMC</w:t>
            </w:r>
          </w:p>
        </w:tc>
        <w:tc>
          <w:tcPr>
            <w:tcW w:type="dxa" w:w="2493"/>
          </w:tcPr>
          <w:p>
            <w:r/>
            <w:r>
              <w:rPr>
                <w:color w:val="222222"/>
                <w:sz w:val="20"/>
              </w:rPr>
              <w:t>TBC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color w:val="222222"/>
                <w:sz w:val="20"/>
              </w:rPr>
              <w:t>A05-07</w:t>
            </w:r>
          </w:p>
        </w:tc>
        <w:tc>
          <w:tcPr>
            <w:tcW w:type="dxa" w:w="2493"/>
          </w:tcPr>
          <w:p>
            <w:r/>
            <w:r>
              <w:rPr>
                <w:color w:val="222222"/>
                <w:sz w:val="20"/>
              </w:rPr>
              <w:t>Confirm 110 kV outage window with Vantaan Energia</w:t>
            </w:r>
          </w:p>
        </w:tc>
        <w:tc>
          <w:tcPr>
            <w:tcW w:type="dxa" w:w="2493"/>
          </w:tcPr>
          <w:p>
            <w:r/>
            <w:r>
              <w:rPr>
                <w:color w:val="222222"/>
                <w:sz w:val="20"/>
              </w:rPr>
              <w:t>PMC / Design</w:t>
            </w:r>
          </w:p>
        </w:tc>
        <w:tc>
          <w:tcPr>
            <w:tcW w:type="dxa" w:w="2493"/>
          </w:tcPr>
          <w:p>
            <w:r/>
            <w:r>
              <w:rPr>
                <w:color w:val="222222"/>
                <w:sz w:val="20"/>
              </w:rPr>
              <w:t>TBC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color w:val="222222"/>
                <w:sz w:val="20"/>
              </w:rPr>
              <w:t>R-09</w:t>
            </w:r>
          </w:p>
        </w:tc>
        <w:tc>
          <w:tcPr>
            <w:tcW w:type="dxa" w:w="2493"/>
          </w:tcPr>
          <w:p>
            <w:r/>
            <w:r>
              <w:rPr>
                <w:color w:val="222222"/>
                <w:sz w:val="20"/>
              </w:rPr>
              <w:t>TMP compound relocation — programme impact</w:t>
            </w:r>
          </w:p>
        </w:tc>
        <w:tc>
          <w:tcPr>
            <w:tcW w:type="dxa" w:w="2493"/>
          </w:tcPr>
          <w:p>
            <w:r/>
            <w:r>
              <w:rPr>
                <w:color w:val="222222"/>
                <w:sz w:val="20"/>
              </w:rPr>
              <w:t>TL</w:t>
            </w:r>
          </w:p>
        </w:tc>
        <w:tc>
          <w:tcPr>
            <w:tcW w:type="dxa" w:w="2493"/>
          </w:tcPr>
          <w:p>
            <w:r/>
            <w:r>
              <w:rPr>
                <w:color w:val="222222"/>
                <w:sz w:val="20"/>
              </w:rPr>
              <w:t>TBC</w:t>
            </w:r>
          </w:p>
        </w:tc>
      </w:tr>
    </w:tbl>
    <w:p>
      <w:pPr>
        <w:spacing w:before="240" w:after="80"/>
      </w:pPr>
      <w:r>
        <w:rPr>
          <w:b/>
          <w:color w:val="2B4F73"/>
          <w:sz w:val="28"/>
        </w:rPr>
        <w:t>10. Source Documents</w:t>
      </w:r>
    </w:p>
    <w:p>
      <w:pPr>
        <w:spacing w:before="0" w:after="40"/>
      </w:pPr>
      <w:r>
        <w:rPr>
          <w:b w:val="0"/>
          <w:color w:val="555555"/>
          <w:sz w:val="18"/>
        </w:rPr>
        <w:t>PDC-BOQ-001 Rev A (Bill of Quantities) · PDC-SCH-001 Rev0 (Kallio baseline) · PDC-SCH-005 Rev2 (Ilmatek baseline — not yet accepted) · PDC-SCH-008 Rev0 (Lehtinen baseline) · PDC-MS-001 Rev A (Milestone &amp; Constraint Register) · PDC-LT-001 Rev A (Procurement Lead-Time Register) · PDC-CAL-001 Rev A (Working Calendar) · PDC-PROG-001-P05 (Kallio return) · PDC-PROG-005-P05 (Ilmatek return) · PDC-PROG-008-P05 (Lehtinen return) · PDC-LAB-P05 (Site records July 2026) · PDC-MIN-P05 (Site Progress Meeting No. 5, 28.07.2026) · PDC-LTR-PMC-011 (ER Period 05 letter, 30.07.2026) · AI_Outputs/Programme_Compliance (TP-005 Rev2 findings).</w:t>
      </w:r>
    </w:p>
    <w:p>
      <w:pPr>
        <w:spacing w:before="0" w:after="40"/>
      </w:pPr>
      <w:r>
        <w:rPr>
          <w:b w:val="0"/>
          <w:color w:val="222222"/>
          <w:sz w:val="21"/>
        </w:rPr>
      </w:r>
    </w:p>
    <w:p>
      <w:pPr>
        <w:spacing w:before="0" w:after="40"/>
      </w:pPr>
      <w:r>
        <w:rPr>
          <w:b w:val="0"/>
          <w:color w:val="555555"/>
          <w:sz w:val="18"/>
        </w:rPr>
        <w:t>End of report. Consider a supplementary paper on the unaccepted Ilmatek Rev2 programme and the 110 kV outage window as a companion to this report.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