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F2E4C"/>
        </w:rPr>
        <w:t xml:space="preserve">POLARIS DC-1 — PERIOD 07 PROGRESS REPORT</w:t>
      </w:r>
    </w:p>
    <w:p>
      <w:pPr>
        <w:spacing w:after="120"/>
      </w:pPr>
      <w:r>
        <w:rPr>
          <w:b/>
          <w:bCs/>
        </w:rPr>
        <w:t xml:space="preserve">Project</w:t>
      </w:r>
      <w:r>
        <w:t xml:space="preserve"> Polaris DC-1 — Aviapolis Data Campus, Vantaa </w:t>
      </w:r>
      <w:r>
        <w:rPr>
          <w:b/>
          <w:bCs/>
        </w:rPr>
        <w:t xml:space="preserve">Employer</w:t>
      </w:r>
      <w:r>
        <w:t xml:space="preserve"> Aviapolis DC Holdings Oy </w:t>
      </w:r>
      <w:r>
        <w:rPr>
          <w:b/>
          <w:bCs/>
        </w:rPr>
        <w:t xml:space="preserve">Employer's Representative</w:t>
      </w:r>
      <w:r>
        <w:t xml:space="preserve"> Anna Härkönen </w:t>
      </w:r>
      <w:r>
        <w:rPr>
          <w:b/>
          <w:bCs/>
        </w:rPr>
        <w:t xml:space="preserve">Contract</w:t>
      </w:r>
      <w:r>
        <w:t xml:space="preserve"> FIDIC Yellow Book 2017 + </w:t>
      </w:r>
      <w:r>
        <w:rPr>
          <w:b/>
          <w:bCs/>
        </w:rPr>
        <w:t xml:space="preserve">Particular Conditions PDC-PC-001 RevC (FINAL — issued for execution, 24.02.2026)</w:t>
      </w:r>
      <w:r>
        <w:t xml:space="preserve">. RevC supersedes RevA (06.02.2026) and RevB (06.02.2026). Contractor's letter NB-PDC-031 of 21.02.2026 records acceptance on RevC. </w:t>
      </w:r>
      <w:r>
        <w:rPr>
          <w:b/>
          <w:bCs/>
        </w:rPr>
        <w:t xml:space="preserve">Operative Subcontract (Ilmatek)</w:t>
      </w:r>
      <w:r>
        <w:t xml:space="preserve"> PDC-SUB-005 Rev1 (03.08.2026) </w:t>
      </w:r>
      <w:r>
        <w:rPr>
          <w:b/>
          <w:bCs/>
        </w:rPr>
        <w:t xml:space="preserve">Operative Subcontract (Kallio)</w:t>
      </w:r>
      <w:r>
        <w:t xml:space="preserve"> PDC-SUB-001 Rev0 (per Kallio PDC-SCH-001 Rev0 cover) </w:t>
      </w:r>
      <w:r>
        <w:rPr>
          <w:b/>
          <w:bCs/>
        </w:rPr>
        <w:t xml:space="preserve">Data date</w:t>
      </w:r>
      <w:r>
        <w:t xml:space="preserve"> 30 September 2026 </w:t>
      </w:r>
      <w:r>
        <w:rPr>
          <w:b/>
          <w:bCs/>
        </w:rPr>
        <w:t xml:space="preserve">Reporting window</w:t>
      </w:r>
      <w:r>
        <w:t xml:space="preserve"> Period 07 — 01 to 30 September 2026 </w:t>
      </w:r>
      <w:r>
        <w:rPr>
          <w:b/>
          <w:bCs/>
        </w:rPr>
        <w:t xml:space="preserve">Date of issue</w:t>
      </w:r>
      <w:r>
        <w:t xml:space="preserve"> 06 October 2026 (P07 cycle 5 — operative PC corrected to RevC; clause references re-verified) </w:t>
      </w:r>
      <w:r>
        <w:rPr>
          <w:b/>
          <w:bCs/>
        </w:rPr>
        <w:t xml:space="preserve">Prepared by</w:t>
      </w:r>
      <w:r>
        <w:t xml:space="preserve"> Senior Planning Engineer </w:t>
      </w:r>
      <w:r>
        <w:rPr>
          <w:b/>
          <w:bCs/>
        </w:rPr>
        <w:t xml:space="preserve">Cumulative reports</w:t>
      </w:r>
      <w:r>
        <w:t xml:space="preserve"> P05 (Jul 2026) · P06 (Aug 2026) · </w:t>
      </w:r>
      <w:r>
        <w:rPr>
          <w:b/>
          <w:bCs/>
        </w:rPr>
        <w:t xml:space="preserve">P07 (this report)</w:t>
      </w:r>
    </w:p>
    <w:p>
      <w:pPr>
        <w:spacing w:after="120"/>
      </w:pPr>
      <w:r>
        <w:t xml:space="preserve">---</w:t>
      </w:r>
    </w:p>
    <w:p>
      <w:pPr>
        <w:pBdr>
          <w:left w:val="single" w:color="C8842A" w:sz="12" w:space="12"/>
        </w:pBdr>
        <w:ind w:left="360"/>
      </w:pPr>
      <w:r>
        <w:rPr>
          <w:i/>
          <w:iCs/>
          <w:color w:val="6B7280"/>
        </w:rPr>
        <w:t xml:space="preserve">**Distribution** PD → PMC → ER record. Source-discipline standard: every figure traceable to a document read; every clause reference traceable to the operative source clause; every disagreement between a sub-return and QS / site records resolved in §5 Conflict Log; the conflict and the governing record named.</w:t>
      </w:r>
    </w:p>
    <w:p>
      <w:pPr>
        <w:pStyle w:val="Heading1"/>
        <w:pBdr>
          <w:bottom w:val="single" w:color="1F6FB2" w:sz="6"/>
        </w:pBdr>
        <w:spacing w:after="120" w:before="240"/>
      </w:pPr>
      <w:r>
        <w:rPr>
          <w:b/>
          <w:bCs/>
          <w:color w:val="0F2E4C"/>
        </w:rPr>
        <w:t xml:space="preserve">1. Executive Summary</w:t>
      </w:r>
    </w:p>
    <w:p>
      <w:pPr>
        <w:spacing w:after="120"/>
      </w:pPr>
      <w:r>
        <w:t xml:space="preserve">The project is </w:t>
      </w:r>
      <w:r>
        <w:rPr>
          <w:b/>
          <w:bCs/>
        </w:rPr>
        <w:t xml:space="preserve">on programme (SPI 0.998 on the activity-subset basis, SPI 1.020 on the full BAC basis)</w:t>
      </w:r>
      <w:r>
        <w:t xml:space="preserve"> but </w:t>
      </w:r>
      <w:r>
        <w:rPr>
          <w:b/>
          <w:bCs/>
        </w:rPr>
        <w:t xml:space="preserve">materially over budget (CPI 0.697 activity subset / CPI 0.902 full BAC)</w:t>
      </w:r>
      <w:r>
        <w:t xml:space="preserve"> with the cost overrun driven by TP-001 Kallio (C-1100 earthworks/piling and C-1200 substructure). The </w:t>
      </w:r>
      <w:r>
        <w:rPr>
          <w:b/>
          <w:bCs/>
        </w:rPr>
        <w:t xml:space="preserve">date for Section 1 completion (02.05.2027) is unchanged</w:t>
      </w:r>
      <w:r>
        <w:t xml:space="preserve"> this period, but the critical path has shifted from the DH2 chain in P06 to </w:t>
      </w:r>
      <w:r>
        <w:rPr>
          <w:b/>
          <w:bCs/>
        </w:rPr>
        <w:t xml:space="preserve">DH2 ground-floor slab → DH1 pile caps → 110 kV commissioning</w:t>
      </w:r>
      <w:r>
        <w:t xml:space="preserve">, and the float that P05 reported (2 wd) and P06 reported (1 wd) is now </w:t>
      </w:r>
      <w:r>
        <w:rPr>
          <w:b/>
          <w:bCs/>
        </w:rPr>
        <w:t xml:space="preserve">0 wd</w:t>
      </w:r>
      <w:r>
        <w:t xml:space="preserve">. Three of the four live tensions this period are defensible as positioned: </w:t>
      </w:r>
      <w:r>
        <w:rPr>
          <w:b/>
          <w:bCs/>
        </w:rPr>
        <w:t xml:space="preserve">DH2 waterproofing (pay 90% per QS, NCR raised, KMO-QC-0219 unwitnessed)</w:t>
      </w:r>
      <w:r>
        <w:t xml:space="preserve">, </w:t>
      </w:r>
      <w:r>
        <w:rPr>
          <w:b/>
          <w:bCs/>
        </w:rPr>
        <w:t xml:space="preserve">Ilmatek ILM-NOT-003 (reasoned deny — does not affect Section 1 date)</w:t>
      </w:r>
      <w:r>
        <w:t xml:space="preserve"> and </w:t>
      </w:r>
      <w:r>
        <w:rPr>
          <w:b/>
          <w:bCs/>
        </w:rPr>
        <w:t xml:space="preserve">Kallio PDC-SCH-001 Rev1 (do not accept; field-by-field review in workbook, 4 REJECT / 4 ACCEPT / 4 NOTE)</w:t>
      </w:r>
      <w:r>
        <w:t xml:space="preserve">. The fourth is a </w:t>
      </w:r>
      <w:r>
        <w:rPr>
          <w:b/>
          <w:bCs/>
        </w:rPr>
        <w:t xml:space="preserve">material gap the Contractor owns</w:t>
      </w:r>
      <w:r>
        <w:t xml:space="preserve">: </w:t>
      </w:r>
      <w:r>
        <w:rPr>
          <w:b/>
          <w:bCs/>
        </w:rPr>
        <w:t xml:space="preserve">no response has been issued to PDC-LTR-PMC-014 (110 kV revised energisation date, 28.08.2026) within the 14-day window the ER set, which closed 11.09.2026 — 19 days ago at data date</w:t>
      </w:r>
      <w:r>
        <w:t xml:space="preserve"> — and a hold-harmless letter (PDC-LTR-001-021) has been drafted this period for issue under separate cover. Substance response on the 110 kV time impact is owed by 31.10.2026. Two material coordination actions are also closed: </w:t>
      </w:r>
      <w:r>
        <w:rPr>
          <w:b/>
          <w:bCs/>
        </w:rPr>
        <w:t xml:space="preserve">R-09 (TMP compound) closed 14.09.2026</w:t>
      </w:r>
      <w:r>
        <w:t xml:space="preserve"> by Lehtinen, and </w:t>
      </w:r>
      <w:r>
        <w:rPr>
          <w:b/>
          <w:bCs/>
        </w:rPr>
        <w:t xml:space="preserve">DH1 piling completed on programme 11.09.2026</w:t>
      </w:r>
      <w:r>
        <w:t xml:space="preserve"> as forecast in P05. The board needs to know the cost position is real and to authorise the cost-recovery-mechanism review (A07-07) before the next period.</w:t>
      </w:r>
    </w:p>
    <w:p>
      <w:pPr>
        <w:spacing w:after="120"/>
      </w:pPr>
      <w:r>
        <w:rPr>
          <w:b/>
          <w:bCs/>
        </w:rPr>
        <w:t xml:space="preserve">Audit corrections this period (P07 cycle 5 — operative PC corrected).</w:t>
      </w:r>
      <w:r>
        <w:t xml:space="preserve"> Following a final cross-check of every clause reference against the operative source documents:</w:t>
      </w:r>
    </w:p>
    <w:p>
      <w:pPr>
        <w:spacing w:after="120"/>
      </w:pPr>
      <w:r>
        <w:t xml:space="preserve">---</w:t>
      </w:r>
    </w:p>
    <w:p>
      <w:pPr>
        <w:pStyle w:val="ListParagraph"/>
        <w:numPr>
          <w:ilvl w:val="0"/>
          <w:numId w:val="1"/>
        </w:numPr>
      </w:pPr>
      <w:r>
        <w:rPr>
          <w:b/>
          <w:bCs/>
        </w:rPr>
        <w:t xml:space="preserve">Operative PC identified as PDC-PC-001 RevC (FINAL, 24.02.2026), NOT RevB.</w:t>
      </w:r>
      <w:r>
        <w:t xml:space="preserve"> RevB was the version I had in front of me when I drafted cycle 4; RevC is the version that supersedes it. The Contractor's letter NB-PDC-031 of 21.02.2026 records acceptance on RevC. </w:t>
      </w:r>
      <w:r>
        <w:rPr>
          <w:b/>
          <w:bCs/>
        </w:rPr>
        <w:t xml:space="preserve">All main-contract clause references in this report are now to RevC, not RevB.</w:t>
      </w:r>
    </w:p>
    <w:p>
      <w:pPr>
        <w:pStyle w:val="ListParagraph"/>
        <w:numPr>
          <w:ilvl w:val="0"/>
          <w:numId w:val="1"/>
        </w:numPr>
      </w:pPr>
      <w:r>
        <w:rPr>
          <w:b/>
          <w:bCs/>
        </w:rPr>
        <w:t xml:space="preserve">PDC-PC-001 RevC SP-7 / Sub-Clause 8.5 (concurrent delay) — apportionment regime, NOT a bar.</w:t>
      </w:r>
      <w:r>
        <w:t xml:space="preserve"> RevB's "concurrent delay bar stands" modification is </w:t>
      </w:r>
      <w:r>
        <w:rPr>
          <w:b/>
          <w:bCs/>
        </w:rPr>
        <w:t xml:space="preserve">withdrawn</w:t>
      </w:r>
      <w:r>
        <w:t xml:space="preserve"> by RevC. RevC SP-7 inserts: </w:t>
      </w:r>
      <w:r>
        <w:rPr>
          <w:i/>
          <w:iCs/>
        </w:rPr>
        <w:t xml:space="preserve">"Where a delay for which the Contractor is responsible is concurrent with a delay for which the Contractor would otherwise be entitled to an extension of time, the Engineer shall apportion the delay between the concurrent causes on a fair and reasonable basis, having regard to the contemporary records. The Contractor shall be entitled to an extension of time for the apportioned share attributable to the Employer's risk events, </w:t>
      </w:r>
      <w:r>
        <w:rPr>
          <w:i/>
          <w:iCs/>
        </w:rPr>
        <w:t xml:space="preserve">and shall not be entitled to Cost for any period of concurrent delay</w:t>
      </w:r>
      <w:r>
        <w:rPr>
          <w:i/>
          <w:iCs/>
        </w:rPr>
        <w:t xml:space="preserve">."</w:t>
      </w:r>
      <w:r>
        <w:t xml:space="preserve"> The </w:t>
      </w:r>
      <w:r>
        <w:rPr>
          <w:b/>
          <w:bCs/>
        </w:rPr>
        <w:t xml:space="preserve">Cost bar is retained</w:t>
      </w:r>
      <w:r>
        <w:t xml:space="preserve">; the </w:t>
      </w:r>
      <w:r>
        <w:rPr>
          <w:b/>
          <w:bCs/>
        </w:rPr>
        <w:t xml:space="preserve">time bar is replaced by apportionment</w:t>
      </w:r>
      <w:r>
        <w:t xml:space="preserve">. This is a substantive change from cycle 4.</w:t>
      </w:r>
    </w:p>
    <w:p>
      <w:pPr>
        <w:pStyle w:val="ListParagraph"/>
        <w:numPr>
          <w:ilvl w:val="0"/>
          <w:numId w:val="1"/>
        </w:numPr>
      </w:pPr>
      <w:r>
        <w:rPr>
          <w:b/>
          <w:bCs/>
        </w:rPr>
        <w:t xml:space="preserve">PDC-PC-001 RevC SP-15 / Sub-Clause 20.2.1 (notice period) — 28 days, NOT 21.</w:t>
      </w:r>
      <w:r>
        <w:t xml:space="preserve"> RevB's 21-day modification is </w:t>
      </w:r>
      <w:r>
        <w:rPr>
          <w:b/>
          <w:bCs/>
        </w:rPr>
        <w:t xml:space="preserve">withdrawn</w:t>
      </w:r>
      <w:r>
        <w:t xml:space="preserve"> by RevC. RevC SP-15 inserts: </w:t>
      </w:r>
      <w:r>
        <w:rPr>
          <w:i/>
          <w:iCs/>
        </w:rPr>
        <w:t xml:space="preserve">"The amendments in Rev A and Rev B are withdrawn. Sub-Clause 20.2.1 is reinstated in full and unamended, with the 28-day period, and Sub-Clause 20.2.2 applies in full, including the Engineer's obligation to give notice of any non-compliance and the consequences of failing to do so."</w:t>
      </w:r>
      <w:r>
        <w:t xml:space="preserve"> The </w:t>
      </w:r>
      <w:r>
        <w:rPr>
          <w:b/>
          <w:bCs/>
        </w:rPr>
        <w:t xml:space="preserve">28-day notice period applies in full</w:t>
      </w:r>
      <w:r>
        <w:t xml:space="preserve">. </w:t>
      </w:r>
      <w:r>
        <w:rPr>
          <w:b/>
          <w:bCs/>
        </w:rPr>
        <w:t xml:space="preserve">Sub-Clause 20.2.2 is reinstated in full</w:t>
      </w:r>
      <w:r>
        <w:t xml:space="preserve"> — the Engineer's obligation to give notice of non-compliance is back, and the consequences of the Engineer's failure to do so are reinstated.</w:t>
      </w:r>
    </w:p>
    <w:p>
      <w:pPr>
        <w:pStyle w:val="ListParagraph"/>
        <w:numPr>
          <w:ilvl w:val="0"/>
          <w:numId w:val="1"/>
        </w:numPr>
      </w:pPr>
      <w:r>
        <w:rPr>
          <w:b/>
          <w:bCs/>
        </w:rPr>
        <w:t xml:space="preserve">PDC-PC-001 RevC SP-9 / Sub-Clause 13.3.1 (variation by instruction) — interim valuation wording added.</w:t>
      </w:r>
      <w:r>
        <w:t xml:space="preserve"> RevC SP-9 inserts: </w:t>
      </w:r>
      <w:r>
        <w:rPr>
          <w:i/>
          <w:iCs/>
        </w:rPr>
        <w:t xml:space="preserve">"Where the adjustment to the Contract Price has not been agreed within 28 days of the instruction, the Engineer shall make an interim valuation of the Variation and certify that amount in the next Interim Payment Certificate, without prejudice to the final agreement or determination."</w:t>
      </w:r>
      <w:r>
        <w:t xml:space="preserve"> Strengthens the Contractor's cash-flow position on disputed Variations.</w:t>
      </w:r>
    </w:p>
    <w:p>
      <w:pPr>
        <w:pStyle w:val="ListParagraph"/>
        <w:numPr>
          <w:ilvl w:val="0"/>
          <w:numId w:val="1"/>
        </w:numPr>
      </w:pPr>
      <w:r>
        <w:rPr>
          <w:b/>
          <w:bCs/>
        </w:rPr>
        <w:t xml:space="preserve">PDC-PC-001 RevC SP-12 / Sub-Clause 14.6 (IPC set-off) — set-off limited to actually-accrued Delay Damages.</w:t>
      </w:r>
      <w:r>
        <w:t xml:space="preserve"> RevC SP-12 inserts: </w:t>
      </w:r>
      <w:r>
        <w:rPr>
          <w:i/>
          <w:iCs/>
        </w:rPr>
        <w:t xml:space="preserve">"No deduction may be made in respect of Delay Damages which the Employer anticipates may accrue in the future."</w:t>
      </w:r>
      <w:r>
        <w:t xml:space="preserve"> Strengthens the Contractor.</w:t>
      </w:r>
    </w:p>
    <w:p>
      <w:pPr>
        <w:pStyle w:val="ListParagraph"/>
        <w:numPr>
          <w:ilvl w:val="0"/>
          <w:numId w:val="1"/>
        </w:numPr>
      </w:pPr>
      <w:r>
        <w:rPr>
          <w:b/>
          <w:bCs/>
        </w:rPr>
        <w:t xml:space="preserve">PDC-PC-001 RevC SP-5 / Sub-Clause 4.12 (unforeseeable physical conditions) — reinstated in full.</w:t>
      </w:r>
      <w:r>
        <w:t xml:space="preserve"> Time and Cost under the FIDIC standard test. The RevB deemed-foreseeable wording is withdrawn.</w:t>
      </w:r>
    </w:p>
    <w:p>
      <w:pPr>
        <w:pStyle w:val="ListParagraph"/>
        <w:numPr>
          <w:ilvl w:val="0"/>
          <w:numId w:val="1"/>
        </w:numPr>
      </w:pPr>
      <w:r>
        <w:rPr>
          <w:b/>
          <w:bCs/>
        </w:rPr>
        <w:t xml:space="preserve">PDC-PC-001 RevC SP-2 / Sub-Clause 1.9 (errors in Employer's Requirements) — reinstated in full.</w:t>
      </w:r>
      <w:r>
        <w:t xml:space="preserve"> The Contractor is entitled to relief on errors.</w:t>
      </w:r>
    </w:p>
    <w:p>
      <w:pPr>
        <w:pStyle w:val="ListParagraph"/>
        <w:numPr>
          <w:ilvl w:val="0"/>
          <w:numId w:val="1"/>
        </w:numPr>
      </w:pPr>
      <w:r>
        <w:rPr>
          <w:b/>
          <w:bCs/>
        </w:rPr>
        <w:t xml:space="preserve">PDC-PC-001 RevC SP-3 / Sub-Clause 1.15 (limitation of liability) — reinstated with cap and carve-outs.</w:t>
      </w:r>
      <w:r>
        <w:t xml:space="preserve"> Cap at the Accepted Contract Amount, with carve-outs (death/personal injury, fraud, wilful misconduct, abandonment, insurance proceeds).</w:t>
      </w:r>
    </w:p>
    <w:p>
      <w:pPr>
        <w:pStyle w:val="ListParagraph"/>
        <w:numPr>
          <w:ilvl w:val="0"/>
          <w:numId w:val="1"/>
        </w:numPr>
      </w:pPr>
      <w:r>
        <w:rPr>
          <w:b/>
          <w:bCs/>
        </w:rPr>
        <w:t xml:space="preserve">PDC-PC-001 RevC SP-6 / Sub-Clause 5.1 (design warranty) — standard of reasonable skill, care and diligence.</w:t>
      </w:r>
      <w:r>
        <w:t xml:space="preserve"> Performance figures (PUE, WUE, availability, waste-heat) still guaranteed. The RevB absolute warranty is withdrawn.</w:t>
      </w:r>
    </w:p>
    <w:p>
      <w:pPr>
        <w:pStyle w:val="ListParagraph"/>
        <w:numPr>
          <w:ilvl w:val="0"/>
          <w:numId w:val="1"/>
        </w:numPr>
      </w:pPr>
      <w:r>
        <w:rPr>
          <w:b/>
          <w:bCs/>
        </w:rPr>
        <w:t xml:space="preserve">PDC-PC-001 RevC SP-13 / Sub-Clause 14.9 (retention release) — on Section 1 / Section 4 Taking-Over Certificates.</w:t>
      </w:r>
    </w:p>
    <w:p>
      <w:pPr>
        <w:pStyle w:val="ListParagraph"/>
        <w:numPr>
          <w:ilvl w:val="0"/>
          <w:numId w:val="1"/>
        </w:numPr>
      </w:pPr>
      <w:r>
        <w:rPr>
          <w:b/>
          <w:bCs/>
        </w:rPr>
        <w:t xml:space="preserve">PDC-PC-001 RevC SP-17 / Sub-Clause 21.6 (arbitration) — Helsinki, English, 3 arbitrators.</w:t>
      </w:r>
    </w:p>
    <w:p>
      <w:pPr>
        <w:pStyle w:val="ListParagraph"/>
        <w:numPr>
          <w:ilvl w:val="0"/>
          <w:numId w:val="1"/>
        </w:numPr>
      </w:pPr>
      <w:r>
        <w:rPr>
          <w:b/>
          <w:bCs/>
        </w:rPr>
        <w:t xml:space="preserve">PDC-PC-001 RevC SP-16 / Sub-Clauses 21.1–21.4 (DAAB) — no DAAB.</w:t>
      </w:r>
      <w:r>
        <w:t xml:space="preserve"> Disputes proceed directly to arbitration.</w:t>
      </w:r>
    </w:p>
    <w:p>
      <w:pPr>
        <w:pStyle w:val="ListParagraph"/>
        <w:numPr>
          <w:ilvl w:val="0"/>
          <w:numId w:val="1"/>
        </w:numPr>
      </w:pPr>
      <w:r>
        <w:rPr>
          <w:b/>
          <w:bCs/>
        </w:rPr>
        <w:t xml:space="preserve">ILM-NOT-003 position restated on RevC terms.</w:t>
      </w:r>
      <w:r>
        <w:t xml:space="preserve"> The Cost bar under SP-7 / Sub-Clause 8.5 is retained; the time bar is replaced by apportionment. The reasoned position now rests on PDC-SUB-005 Rev1 Cl. 1.3 / 4.1 / 4.2 / 4.3 + PDC-PC-001 RevC SP-7 / Sub-Clause 8.5.</w:t>
      </w:r>
    </w:p>
    <w:p>
      <w:pPr>
        <w:pStyle w:val="ListParagraph"/>
        <w:numPr>
          <w:ilvl w:val="0"/>
          <w:numId w:val="1"/>
        </w:numPr>
      </w:pPr>
      <w:r>
        <w:rPr>
          <w:b/>
          <w:bCs/>
        </w:rPr>
        <w:t xml:space="preserve">110 kV hold-harmless letter restated on RevC terms.</w:t>
      </w:r>
      <w:r>
        <w:t xml:space="preserve"> 28-day notice per SP-15; 20.2.2 reinstated in full; SP-7 apportionment regime. The 110 kV slip event became known 28.08.2026; the 28-day clock expired 25.09.2026. The 20.2.2 reinstatement is the procedural route for any EoT application; the 21.09.2026 slab commencement event gives a separate, still-open 28-day window (expires 19.10.2026) for any EoT related to that event.</w:t>
      </w:r>
    </w:p>
    <w:p>
      <w:pPr>
        <w:pStyle w:val="Heading1"/>
        <w:pBdr>
          <w:bottom w:val="single" w:color="1F6FB2" w:sz="6"/>
        </w:pBdr>
        <w:spacing w:after="120" w:before="240"/>
      </w:pPr>
      <w:r>
        <w:rPr>
          <w:b/>
          <w:bCs/>
          <w:color w:val="0F2E4C"/>
        </w:rPr>
        <w:t xml:space="preserve">2. Package Position</w:t>
      </w:r>
    </w:p>
    <w:p>
      <w:pPr>
        <w:pStyle w:val="Heading1"/>
        <w:pBdr>
          <w:bottom w:val="single" w:color="1F6FB2" w:sz="6"/>
        </w:pBdr>
        <w:spacing w:after="120" w:before="240"/>
      </w:pPr>
      <w:r>
        <w:rPr>
          <w:b/>
          <w:bCs/>
          <w:color w:val="0F2E4C"/>
        </w:rPr>
        <w:t xml:space="preserve">— 2.1 TP-001 Kallio (substructure and external works)</w:t>
      </w:r>
    </w:p>
    <w:p>
      <w:pPr>
        <w:spacing w:after="120"/>
      </w:pPr>
      <w:r>
        <w:rPr>
          <w:b/>
          <w:bCs/>
        </w:rPr>
        <w:t xml:space="preserve">Sub-return position (PDC-PROG-001-P07, dated 22–26.09.2026)</w:t>
      </w:r>
    </w:p>
    <w:p>
      <w:pPr>
        <w:spacing w:after="120"/>
      </w:pPr>
      <w:r>
        <w:rPr>
          <w:b/>
          <w:bCs/>
        </w:rPr>
        <w:t xml:space="preserve">Site / QS records (PDC-LAB-P07 QS sheet, walk 28–30.09.2026)</w:t>
      </w:r>
    </w:p>
    <w:p>
      <w:pPr>
        <w:spacing w:after="120"/>
      </w:pPr>
      <w:r>
        <w:rPr>
          <w:b/>
          <w:bCs/>
        </w:rPr>
        <w:t xml:space="preserve">Governing position</w:t>
      </w:r>
      <w:r>
        <w:t xml:space="preserve"> — </w:t>
      </w:r>
      <w:r>
        <w:rPr>
          <w:b/>
          <w:bCs/>
        </w:rPr>
        <w:t xml:space="preserve">Pay DH2 waterproofing at 90% per QS</w:t>
      </w:r>
      <w:r>
        <w:t xml:space="preserve">; Kallio required to complete W4 upstands and re-present for inspection before further pours (A07-01 by 07.10.2026). Slab pour 1 of 4 stands, but pours 2–4 are contingent on W4 completion. Programme Rev1 — </w:t>
      </w:r>
      <w:r>
        <w:rPr>
          <w:b/>
          <w:bCs/>
        </w:rPr>
        <w:t xml:space="preserve">do not accept</w:t>
      </w:r>
      <w:r>
        <w:t xml:space="preserve">; field-by-field review in the workbook (12 items: 4 REJECT, 4 ACCEPT, 4 NOTE). The principal REJECT items are: the waterproofing completion must align with QS record, the MEP spine Act 63 is not Kallio's scope (it is Ilmatek's IL-1400), and Kallio must declare float.</w:t>
      </w:r>
    </w:p>
    <w:p>
      <w:pPr>
        <w:pStyle w:val="ListParagraph"/>
        <w:numPr>
          <w:ilvl w:val="0"/>
          <w:numId w:val="1"/>
        </w:numPr>
      </w:pPr>
      <w:r>
        <w:t xml:space="preserve">DH1 piling 68/68 complete 11.09.2026 — on programme.</w:t>
      </w:r>
    </w:p>
    <w:p>
      <w:pPr>
        <w:pStyle w:val="ListParagraph"/>
        <w:numPr>
          <w:ilvl w:val="0"/>
          <w:numId w:val="1"/>
        </w:numPr>
      </w:pPr>
      <w:r>
        <w:t xml:space="preserve">DH2 piling 68/68 (Kallio's 55/63 figure refers to the primary 550 mm driven; the remaining 8 are DH2 perimeter 600 mm casings, planned November). Certified 100% on programme 15.09.2026 (rows 54–66).</w:t>
      </w:r>
    </w:p>
    <w:p>
      <w:pPr>
        <w:pStyle w:val="ListParagraph"/>
        <w:numPr>
          <w:ilvl w:val="0"/>
          <w:numId w:val="1"/>
        </w:numPr>
      </w:pPr>
      <w:r>
        <w:t xml:space="preserve">DH2 waterproofing complete 18.09.2026 (row 59) — they request 100% certification via certificate KMO-QC-0219.</w:t>
      </w:r>
    </w:p>
    <w:p>
      <w:pPr>
        <w:pStyle w:val="ListParagraph"/>
        <w:numPr>
          <w:ilvl w:val="0"/>
          <w:numId w:val="1"/>
        </w:numPr>
      </w:pPr>
      <w:r>
        <w:t xml:space="preserve">DH2 slab pour 1 of 4 complete 21.09.2026 (row 65).</w:t>
      </w:r>
    </w:p>
    <w:p>
      <w:pPr>
        <w:pStyle w:val="ListParagraph"/>
        <w:numPr>
          <w:ilvl w:val="0"/>
          <w:numId w:val="1"/>
        </w:numPr>
      </w:pPr>
      <w:r>
        <w:t xml:space="preserve">DH1 pile caps 14/14 in progress (6 fixed, 3 poured as at 30.09); 35% cum.</w:t>
      </w:r>
    </w:p>
    <w:p>
      <w:pPr>
        <w:pStyle w:val="ListParagraph"/>
        <w:numPr>
          <w:ilvl w:val="0"/>
          <w:numId w:val="1"/>
        </w:numPr>
      </w:pPr>
      <w:r>
        <w:t xml:space="preserve">PDC-SCH-001 Rev1 revised programme dated 22.09.2026 — submitted for acceptance as programme of record.</w:t>
      </w:r>
    </w:p>
    <w:p>
      <w:pPr>
        <w:pStyle w:val="ListParagraph"/>
        <w:numPr>
          <w:ilvl w:val="0"/>
          <w:numId w:val="1"/>
        </w:numPr>
      </w:pPr>
      <w:r>
        <w:t xml:space="preserve">DH1 piling 68/68 — concurs.</w:t>
      </w:r>
    </w:p>
    <w:p>
      <w:pPr>
        <w:pStyle w:val="ListParagraph"/>
        <w:numPr>
          <w:ilvl w:val="0"/>
          <w:numId w:val="1"/>
        </w:numPr>
      </w:pPr>
      <w:r>
        <w:t xml:space="preserve">DH2 piling 68/68 — concurs.</w:t>
      </w:r>
    </w:p>
    <w:p>
      <w:pPr>
        <w:pStyle w:val="ListParagraph"/>
        <w:numPr>
          <w:ilvl w:val="0"/>
          <w:numId w:val="1"/>
        </w:numPr>
      </w:pPr>
      <w:r>
        <w:t xml:space="preserve">DH2 waterproofing — </w:t>
      </w:r>
      <w:r>
        <w:rPr>
          <w:b/>
          <w:bCs/>
        </w:rPr>
        <w:t xml:space="preserve">90% cum, not 100%</w:t>
      </w:r>
      <w:r>
        <w:t xml:space="preserve">. Bay W4 upstands approximately 24 m incomplete at the north edge. Kallio's 100% certification (KMO-QC-0219) disputed.</w:t>
      </w:r>
    </w:p>
    <w:p>
      <w:pPr>
        <w:pStyle w:val="ListParagraph"/>
        <w:numPr>
          <w:ilvl w:val="0"/>
          <w:numId w:val="1"/>
        </w:numPr>
      </w:pPr>
      <w:r>
        <w:t xml:space="preserve">DH2 slab pour 1 — poured 21.09.2026 over the non-conforming waterproofing work in bay W4. NCR PDC-NCR-001 drafted this period.</w:t>
      </w:r>
    </w:p>
    <w:p>
      <w:pPr>
        <w:pStyle w:val="ListParagraph"/>
        <w:numPr>
          <w:ilvl w:val="0"/>
          <w:numId w:val="1"/>
        </w:numPr>
      </w:pPr>
      <w:r>
        <w:t xml:space="preserve">DH1 pile caps — concurs at 35% cum.</w:t>
      </w:r>
    </w:p>
    <w:p>
      <w:pPr>
        <w:pStyle w:val="Heading1"/>
        <w:pBdr>
          <w:bottom w:val="single" w:color="1F6FB2" w:sz="6"/>
        </w:pBdr>
        <w:spacing w:after="120" w:before="240"/>
      </w:pPr>
      <w:r>
        <w:rPr>
          <w:b/>
          <w:bCs/>
          <w:color w:val="0F2E4C"/>
        </w:rPr>
        <w:t xml:space="preserve">— 2.2 TP-005 Ilmatek (mechanical — chilled-water primary spine)</w:t>
      </w:r>
    </w:p>
    <w:p>
      <w:pPr>
        <w:spacing w:after="120"/>
      </w:pPr>
      <w:r>
        <w:rPr>
          <w:b/>
          <w:bCs/>
        </w:rPr>
        <w:t xml:space="preserve">Sub-return position (PDC-PROG-005-P07, 24.09.2026)</w:t>
      </w:r>
    </w:p>
    <w:p>
      <w:pPr>
        <w:spacing w:after="120"/>
      </w:pPr>
      <w:r>
        <w:rPr>
          <w:b/>
          <w:bCs/>
        </w:rPr>
        <w:t xml:space="preserve">Site / QS records (PDC-LAB-P07 QS sheet, walk 28.09.2026)</w:t>
      </w:r>
    </w:p>
    <w:p>
      <w:pPr>
        <w:spacing w:after="120"/>
      </w:pPr>
      <w:r>
        <w:rPr>
          <w:b/>
          <w:bCs/>
        </w:rPr>
        <w:t xml:space="preserve">Governing position on the payment</w:t>
      </w:r>
      <w:r>
        <w:t xml:space="preserve"> — </w:t>
      </w:r>
      <w:r>
        <w:rPr>
          <w:b/>
          <w:bCs/>
        </w:rPr>
        <w:t xml:space="preserve">Pay IL-1400 at 46% per QS.</w:t>
      </w:r>
      <w:r>
        <w:t xml:space="preserve"> The governing basis is the </w:t>
      </w:r>
      <w:r>
        <w:rPr>
          <w:b/>
          <w:bCs/>
        </w:rPr>
        <w:t xml:space="preserve">Progress Return rules</w:t>
      </w:r>
      <w:r>
        <w:t xml:space="preserve"> (PDC correspondence) and the </w:t>
      </w:r>
      <w:r>
        <w:rPr>
          <w:b/>
          <w:bCs/>
        </w:rPr>
        <w:t xml:space="preserve">CVR-P07 actuals</w:t>
      </w:r>
      <w:r>
        <w:t xml:space="preserve">. PDC-SUB-005 Rev1 Cl. 6.1 requires a monthly application with Contractor certification within 14 days; the subcontract does not carry a specific "pay on QS measurement" clause — that basis sits in the Progress Return rules.</w:t>
      </w:r>
    </w:p>
    <w:p>
      <w:pPr>
        <w:spacing w:after="120"/>
      </w:pPr>
      <w:r>
        <w:rPr>
          <w:b/>
          <w:bCs/>
        </w:rPr>
        <w:t xml:space="preserve">Governing position on ILM-NOT-003 — the contractual leg.</w:t>
      </w:r>
      <w:r>
        <w:t xml:space="preserve"> The position rests on three clauses of the Ilmatek subcontract and one of the main contract:</w:t>
      </w:r>
    </w:p>
    <w:p>
      <w:pPr>
        <w:spacing w:after="120"/>
      </w:pPr>
      <w:r>
        <w:rPr>
          <w:b/>
          <w:bCs/>
        </w:rPr>
        <w:t xml:space="preserve">Reasoned position on ILM-NOT-003.</w:t>
      </w:r>
      <w:r>
        <w:t xml:space="preserve"> Under Cl. 1.3, Ilmatek is not entitled to time unless and to the extent the Contractor recovers from the Employer in respect of the same matter. The 110 kV revised energisation date (24.04.2027 per PDC-LTR-PMC-014) is on the critical path (per PDC-MIN-P07 §4) and is the only Employer-side time event on the table — but no EoT has been awarded to the Contractor for that event. Under Cl. 4.1, Ilmatek is not entitled to EoT in respect of the DH2 slab because the slab commenced on programme 21.09.2026 (diary); there is no Contractor-side delay. Under Cl. 4.2 and PDC-PC-001 RevC SP-7 / Sub-Clause 8.5, any Ilmatek-side productivity delay (P05–P07 headcount 12 vs 11 planned; A05-05 recovery schedule not received) is concurrent with any Contractor-side delay and is </w:t>
      </w:r>
      <w:r>
        <w:rPr>
          <w:b/>
          <w:bCs/>
        </w:rPr>
        <w:t xml:space="preserve">not entitled to Cost</w:t>
      </w:r>
      <w:r>
        <w:t xml:space="preserve">. </w:t>
      </w:r>
      <w:r>
        <w:rPr>
          <w:b/>
          <w:bCs/>
        </w:rPr>
        <w:t xml:space="preserve">No concession on cost, no concession on time. Response by 13.10.2026 under A07-04.</w:t>
      </w:r>
    </w:p>
    <w:p>
      <w:pPr>
        <w:pStyle w:val="ListParagraph"/>
        <w:numPr>
          <w:ilvl w:val="0"/>
          <w:numId w:val="1"/>
        </w:numPr>
      </w:pPr>
      <w:r>
        <w:t xml:space="preserve">IL-1400 chilled-water primary spine (LOS, 820 m) — 48% cum, 391 m tested.</w:t>
      </w:r>
    </w:p>
    <w:p>
      <w:pPr>
        <w:pStyle w:val="ListParagraph"/>
        <w:numPr>
          <w:ilvl w:val="0"/>
          <w:numId w:val="1"/>
        </w:numPr>
      </w:pPr>
      <w:r>
        <w:t xml:space="preserve">IL-1550 plant room pipework — 32% cum.</w:t>
      </w:r>
    </w:p>
    <w:p>
      <w:pPr>
        <w:pStyle w:val="ListParagraph"/>
        <w:numPr>
          <w:ilvl w:val="0"/>
          <w:numId w:val="1"/>
        </w:numPr>
      </w:pPr>
      <w:r>
        <w:rPr>
          <w:b/>
          <w:bCs/>
        </w:rPr>
        <w:t xml:space="preserve">ILM-NOT-003 served 24.09.2026</w:t>
      </w:r>
      <w:r>
        <w:t xml:space="preserve">, claiming 22 working days of delay on IL-1400 caused by "late release of DH2 slab" and "non-availability of pipework supports". Notice of Delay sheet cites PDC-SUB-005 Rev1 Cl. 1.3, Cl. 4.1, Cl. 4.2 and Cl. 4.3.</w:t>
      </w:r>
    </w:p>
    <w:p>
      <w:pPr>
        <w:pStyle w:val="ListParagraph"/>
        <w:numPr>
          <w:ilvl w:val="0"/>
          <w:numId w:val="1"/>
        </w:numPr>
      </w:pPr>
      <w:r>
        <w:t xml:space="preserve">IL-1400 — 46% cum, 378 m tested. (The 48% / 46% gap is a percentage-rounding dispute on the agreed tested length.)</w:t>
      </w:r>
    </w:p>
    <w:p>
      <w:pPr>
        <w:pStyle w:val="ListParagraph"/>
        <w:numPr>
          <w:ilvl w:val="0"/>
          <w:numId w:val="1"/>
        </w:numPr>
      </w:pPr>
      <w:r>
        <w:t xml:space="preserve">IL-1550 plant room — 30% cum.</w:t>
      </w:r>
    </w:p>
    <w:p>
      <w:pPr>
        <w:pStyle w:val="ListParagraph"/>
        <w:numPr>
          <w:ilvl w:val="0"/>
          <w:numId w:val="1"/>
        </w:numPr>
      </w:pPr>
      <w:r>
        <w:t xml:space="preserve">Headcount on-site 12–13 (per site diary 28.09.2026) vs 11 planned in P05. Productivity remains below plan.</w:t>
      </w:r>
    </w:p>
    <w:p>
      <w:pPr>
        <w:pStyle w:val="ListParagraph"/>
        <w:numPr>
          <w:ilvl w:val="0"/>
          <w:numId w:val="1"/>
        </w:numPr>
      </w:pPr>
      <w:r>
        <w:rPr>
          <w:b/>
          <w:bCs/>
        </w:rPr>
        <w:t xml:space="preserve">Recovery schedule (A05-05) not received.</w:t>
      </w:r>
    </w:p>
    <w:p>
      <w:pPr>
        <w:pStyle w:val="ListParagraph"/>
        <w:numPr>
          <w:ilvl w:val="0"/>
          <w:numId w:val="1"/>
        </w:numPr>
      </w:pPr>
      <w:r>
        <w:rPr>
          <w:b/>
          <w:bCs/>
        </w:rPr>
        <w:t xml:space="preserve">PDC-SUB-005 Rev1 Cl. 1.3 (General flow-down)</w:t>
      </w:r>
      <w:r>
        <w:t xml:space="preserve"> — verbatim: </w:t>
      </w:r>
      <w:r>
        <w:rPr>
          <w:i/>
          <w:iCs/>
        </w:rPr>
        <w:t xml:space="preserve">"The Subcontractor's rights and obligations in relation to the Subcontract Works are co-extensive with the Contractor's rights and obligations under the Main Contract, so far as they apply to those works. The Subcontractor shall not be entitled to time or money in circumstances where the Contractor would not be entitled to the equivalent relief from the Employer, and no entitlement arises unless and to the extent the Contractor recovers from the Employer in respect of the same matter."</w:t>
      </w:r>
    </w:p>
    <w:p>
      <w:pPr>
        <w:pStyle w:val="ListParagraph"/>
        <w:numPr>
          <w:ilvl w:val="0"/>
          <w:numId w:val="1"/>
        </w:numPr>
      </w:pPr>
      <w:r>
        <w:rPr>
          <w:b/>
          <w:bCs/>
        </w:rPr>
        <w:t xml:space="preserve">PDC-SUB-005 Rev1 Cl. 4.1 (Extension of Time — back-to-back carve-out)</w:t>
      </w:r>
      <w:r>
        <w:t xml:space="preserve"> — verbatim: </w:t>
      </w:r>
      <w:r>
        <w:rPr>
          <w:i/>
          <w:iCs/>
        </w:rPr>
        <w:t xml:space="preserve">"The Subcontractor is entitled to an extension of time where completion of any Section is delayed by an act or omission of the Contractor, a variation, or a cause beyond the Subcontractor's reasonable control, </w:t>
      </w:r>
      <w:r>
        <w:rPr>
          <w:i/>
          <w:iCs/>
        </w:rPr>
        <w:t xml:space="preserve">but only to the extent the Contractor obtains a corresponding extension under the Main Contract</w:t>
      </w:r>
      <w:r>
        <w:rPr>
          <w:i/>
          <w:iCs/>
        </w:rPr>
        <w:t xml:space="preserve">."</w:t>
      </w:r>
    </w:p>
    <w:p>
      <w:pPr>
        <w:pStyle w:val="ListParagraph"/>
        <w:numPr>
          <w:ilvl w:val="0"/>
          <w:numId w:val="1"/>
        </w:numPr>
      </w:pPr>
      <w:r>
        <w:rPr>
          <w:b/>
          <w:bCs/>
        </w:rPr>
        <w:t xml:space="preserve">PDC-SUB-005 Rev1 Cl. 4.2 (Concurrent delay apportionment)</w:t>
      </w:r>
      <w:r>
        <w:t xml:space="preserve"> — verbatim: </w:t>
      </w:r>
      <w:r>
        <w:rPr>
          <w:i/>
          <w:iCs/>
        </w:rPr>
        <w:t xml:space="preserve">"… the Subcontractor is entitled to an extension of time only for the apportioned share attributable to the Contractor's or Employer's risk events, and is not entitled to Cost for any period of concurrent delay."</w:t>
      </w:r>
    </w:p>
    <w:p>
      <w:pPr>
        <w:pStyle w:val="ListParagraph"/>
        <w:numPr>
          <w:ilvl w:val="0"/>
          <w:numId w:val="1"/>
        </w:numPr>
      </w:pPr>
      <w:r>
        <w:rPr>
          <w:b/>
          <w:bCs/>
        </w:rPr>
        <w:t xml:space="preserve">PDC-PC-001 RevC SP-7 / Sub-Clause 8.5 (apportionment regime)</w:t>
      </w:r>
      <w:r>
        <w:t xml:space="preserve"> — verbatim: </w:t>
      </w:r>
      <w:r>
        <w:rPr>
          <w:i/>
          <w:iCs/>
        </w:rPr>
        <w:t xml:space="preserve">"Where a delay for which the Contractor is responsible is concurrent with a delay for which the Contractor would otherwise be entitled to an extension of time, the Engineer shall apportion the delay between the concurrent causes on a fair and reasonable basis, having regard to the contemporary records. The Contractor shall be entitled to an extension of time for the apportioned share attributable to the Employer's risk events, </w:t>
      </w:r>
      <w:r>
        <w:rPr>
          <w:i/>
          <w:iCs/>
        </w:rPr>
        <w:t xml:space="preserve">and shall not be entitled to Cost for any period of concurrent delay</w:t>
      </w:r>
      <w:r>
        <w:rPr>
          <w:i/>
          <w:iCs/>
        </w:rPr>
        <w:t xml:space="preserve">."</w:t>
      </w:r>
    </w:p>
    <w:p>
      <w:pPr>
        <w:pStyle w:val="ListParagraph"/>
        <w:numPr>
          <w:ilvl w:val="0"/>
          <w:numId w:val="1"/>
        </w:numPr>
      </w:pPr>
      <w:r>
        <w:rPr>
          <w:b/>
          <w:bCs/>
        </w:rPr>
        <w:t xml:space="preserve">PDC-SUB-005 Rev1 Cl. 4.3 (21-day notice)</w:t>
      </w:r>
      <w:r>
        <w:t xml:space="preserve"> — ILM-NOT-003 was served 24.09.2026; the trigger event (slab commencement) became known 21.09.2026. Within time. No time-bar.</w:t>
      </w:r>
    </w:p>
    <w:p>
      <w:pPr>
        <w:pStyle w:val="Heading1"/>
        <w:pBdr>
          <w:bottom w:val="single" w:color="1F6FB2" w:sz="6"/>
        </w:pBdr>
        <w:spacing w:after="120" w:before="240"/>
      </w:pPr>
      <w:r>
        <w:rPr>
          <w:b/>
          <w:bCs/>
          <w:color w:val="0F2E4C"/>
        </w:rPr>
        <w:t xml:space="preserve">— 2.3 TP-006 Voima Electric (electrical — HV enabling)</w:t>
      </w:r>
    </w:p>
    <w:p>
      <w:pPr>
        <w:spacing w:after="120"/>
      </w:pPr>
      <w:r>
        <w:rPr>
          <w:b/>
          <w:bCs/>
        </w:rPr>
        <w:t xml:space="preserve">Sub-return position (PDC-PROG-006-P07, 26.09.2026, brief)</w:t>
      </w:r>
    </w:p>
    <w:p>
      <w:pPr>
        <w:spacing w:after="120"/>
      </w:pPr>
      <w:r>
        <w:rPr>
          <w:b/>
          <w:bCs/>
        </w:rPr>
        <w:t xml:space="preserve">Site / QS records</w:t>
      </w:r>
      <w:r>
        <w:t xml:space="preserve"> — Concur. No dispute this period.</w:t>
      </w:r>
    </w:p>
    <w:p>
      <w:pPr>
        <w:spacing w:after="120"/>
      </w:pPr>
      <w:r>
        <w:rPr>
          <w:b/>
          <w:bCs/>
        </w:rPr>
        <w:t xml:space="preserve">Governing position</w:t>
      </w:r>
      <w:r>
        <w:t xml:space="preserve"> — On programme. Awaiting 110 kV revised energisation date (24.04.2027) confirmation. The 110 kV programme impact is to be modelled under A07-05 hold-harmless response, with substance response by 31.10.2026.</w:t>
      </w:r>
    </w:p>
    <w:p>
      <w:pPr>
        <w:pStyle w:val="ListParagraph"/>
        <w:numPr>
          <w:ilvl w:val="0"/>
          <w:numId w:val="1"/>
        </w:numPr>
      </w:pPr>
      <w:r>
        <w:t xml:space="preserve">VE-2200 110 kV switchgear civils — 40% cum — on programme.</w:t>
      </w:r>
    </w:p>
    <w:p>
      <w:pPr>
        <w:pStyle w:val="ListParagraph"/>
        <w:numPr>
          <w:ilvl w:val="0"/>
          <w:numId w:val="1"/>
        </w:numPr>
      </w:pPr>
      <w:r>
        <w:t xml:space="preserve">VE-2300 110 kV cable containment — 25% cum — on programme.</w:t>
      </w:r>
    </w:p>
    <w:p>
      <w:pPr>
        <w:pStyle w:val="ListParagraph"/>
        <w:numPr>
          <w:ilvl w:val="0"/>
          <w:numId w:val="1"/>
        </w:numPr>
      </w:pPr>
      <w:r>
        <w:t xml:space="preserve">VE-2400 transformer bund — 10% cum — on programme.</w:t>
      </w:r>
    </w:p>
    <w:p>
      <w:pPr>
        <w:pStyle w:val="Heading1"/>
        <w:pBdr>
          <w:bottom w:val="single" w:color="1F6FB2" w:sz="6"/>
        </w:pBdr>
        <w:spacing w:after="120" w:before="240"/>
      </w:pPr>
      <w:r>
        <w:rPr>
          <w:b/>
          <w:bCs/>
          <w:color w:val="0F2E4C"/>
        </w:rPr>
        <w:t xml:space="preserve">— 2.4 TP-008 Lehtinen (structural steel and external)</w:t>
      </w:r>
    </w:p>
    <w:p>
      <w:pPr>
        <w:spacing w:after="120"/>
      </w:pPr>
      <w:r>
        <w:rPr>
          <w:b/>
          <w:bCs/>
        </w:rPr>
        <w:t xml:space="preserve">Sub-return position (PDC-PROG-008-P07, 26.09.2026)</w:t>
      </w:r>
    </w:p>
    <w:p>
      <w:pPr>
        <w:spacing w:after="120"/>
      </w:pPr>
      <w:r>
        <w:rPr>
          <w:b/>
          <w:bCs/>
        </w:rPr>
        <w:t xml:space="preserve">Site / QS records</w:t>
      </w:r>
      <w:r>
        <w:t xml:space="preserve"> — Concur.</w:t>
      </w:r>
    </w:p>
    <w:p>
      <w:pPr>
        <w:spacing w:after="120"/>
      </w:pPr>
      <w:r>
        <w:rPr>
          <w:b/>
          <w:bCs/>
        </w:rPr>
        <w:t xml:space="preserve">Governing position</w:t>
      </w:r>
      <w:r>
        <w:t xml:space="preserve"> — On programme. R-09 closed. No claim.</w:t>
      </w:r>
    </w:p>
    <w:p>
      <w:pPr>
        <w:spacing w:after="120"/>
      </w:pPr>
      <w:r>
        <w:t xml:space="preserve">---</w:t>
      </w:r>
    </w:p>
    <w:p>
      <w:pPr>
        <w:pStyle w:val="ListParagraph"/>
        <w:numPr>
          <w:ilvl w:val="0"/>
          <w:numId w:val="1"/>
        </w:numPr>
      </w:pPr>
      <w:r>
        <w:t xml:space="preserve">LE-3210 steel delivery batch 1 — 100% complete 14.09.2026.</w:t>
      </w:r>
    </w:p>
    <w:p>
      <w:pPr>
        <w:pStyle w:val="ListParagraph"/>
        <w:numPr>
          <w:ilvl w:val="0"/>
          <w:numId w:val="1"/>
        </w:numPr>
      </w:pPr>
      <w:r>
        <w:t xml:space="preserve">LE-3220 steel erection DH1 — 20% cum (39/195 t erected).</w:t>
      </w:r>
    </w:p>
    <w:p>
      <w:pPr>
        <w:pStyle w:val="ListParagraph"/>
        <w:numPr>
          <w:ilvl w:val="0"/>
          <w:numId w:val="1"/>
        </w:numPr>
      </w:pPr>
      <w:r>
        <w:t xml:space="preserve">LE-2020 perimeter fence — 100% complete (Risk R-09 closed).</w:t>
      </w:r>
    </w:p>
    <w:p>
      <w:pPr>
        <w:pStyle w:val="Heading1"/>
        <w:pBdr>
          <w:bottom w:val="single" w:color="1F6FB2" w:sz="6"/>
        </w:pBdr>
        <w:spacing w:after="120" w:before="240"/>
      </w:pPr>
      <w:r>
        <w:rPr>
          <w:b/>
          <w:bCs/>
          <w:color w:val="0F2E4C"/>
        </w:rPr>
        <w:t xml:space="preserve">3. Critical Path Status</w:t>
      </w:r>
    </w:p>
    <w:p>
      <w:pPr>
        <w:spacing w:after="120"/>
      </w:pPr>
      <w:r>
        <w:t xml:space="preserve">Per PDC-MIN-P07 §4 (TL's programme review) and our own SLP-L7 pin: </w:t>
      </w:r>
      <w:r>
        <w:rPr>
          <w:b/>
          <w:bCs/>
        </w:rPr>
        <w:t xml:space="preserve">DH2 ground-floor slab → DH1 pile caps → 110 kV commissioning</w:t>
      </w:r>
      <w:r>
        <w:t xml:space="preserve">, with float </w:t>
      </w:r>
      <w:r>
        <w:rPr>
          <w:b/>
          <w:bCs/>
        </w:rPr>
        <w:t xml:space="preserve">0 working days</w:t>
      </w:r>
      <w:r>
        <w:t xml:space="preserve">.</w:t>
      </w:r>
    </w:p>
    <w:p>
      <w:pPr>
        <w:spacing w:after="120"/>
      </w:pPr>
      <w:r>
        <w:rPr>
          <w:b/>
          <w:bCs/>
        </w:rPr>
        <w:t xml:space="preserve">What changed</w:t>
      </w:r>
      <w:r>
        <w:t xml:space="preserve"> — the chain has moved from "DH2 chain of self-contained risk" to "DH2 slab + DH1 pile caps + 110 kV commissioning". The 110 kV leg is the new risk on the chain. The 2 days of float P05 reported are gone.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E4C" w:val="clear"/>
          </w:tcPr>
          <w:p>
            <w:pPr>
              <w:jc w:val="left"/>
            </w:pPr>
            <w:r>
              <w:rPr>
                <w:b/>
                <w:bCs/>
                <w:color w:val="FFFFFF"/>
              </w:rPr>
              <w:t xml:space="preserve">Period</w:t>
            </w:r>
          </w:p>
        </w:tc>
        <w:tc>
          <w:tcPr>
            <w:shd w:fill="0F2E4C" w:val="clear"/>
          </w:tcPr>
          <w:p>
            <w:pPr>
              <w:jc w:val="left"/>
            </w:pPr>
            <w:r>
              <w:rPr>
                <w:b/>
                <w:bCs/>
                <w:color w:val="FFFFFF"/>
              </w:rPr>
              <w:t xml:space="preserve">Driving chain</w:t>
            </w:r>
          </w:p>
        </w:tc>
        <w:tc>
          <w:tcPr>
            <w:shd w:fill="0F2E4C" w:val="clear"/>
          </w:tcPr>
          <w:p>
            <w:pPr>
              <w:jc w:val="left"/>
            </w:pPr>
            <w:r>
              <w:rPr>
                <w:b/>
                <w:bCs/>
                <w:color w:val="FFFFFF"/>
              </w:rPr>
              <w:t xml:space="preserve">Float (wd)</w:t>
            </w:r>
          </w:p>
        </w:tc>
        <w:tc>
          <w:tcPr>
            <w:shd w:fill="0F2E4C" w:val="clear"/>
          </w:tcPr>
          <w:p>
            <w:pPr>
              <w:jc w:val="left"/>
            </w:pPr>
            <w:r>
              <w:rPr>
                <w:b/>
                <w:bCs/>
                <w:color w:val="FFFFFF"/>
              </w:rPr>
              <w:t xml:space="preserve">Section 1 date</w:t>
            </w:r>
          </w:p>
        </w:tc>
        <w:tc>
          <w:tcPr>
            <w:shd w:fill="0F2E4C" w:val="clear"/>
          </w:tcPr>
          <w:p>
            <w:pPr>
              <w:jc w:val="left"/>
            </w:pPr>
            <w:r>
              <w:rPr>
                <w:b/>
                <w:bCs/>
                <w:color w:val="FFFFFF"/>
              </w:rPr>
              <w:t xml:space="preserve">Source</w:t>
            </w:r>
          </w:p>
        </w:tc>
      </w:tr>
      <w:tr>
        <w:trPr>
          <w:tblHeader w:val="false"/>
        </w:trPr>
        <w:tc>
          <w:p>
            <w:r>
              <w:t xml:space="preserve">P05 (Jul 2026)</w:t>
            </w:r>
          </w:p>
        </w:tc>
        <w:tc>
          <w:p>
            <w:r>
              <w:t xml:space="preserve">DH1 piling → DH1 pile caps → DH2 excavation</w:t>
            </w:r>
          </w:p>
        </w:tc>
        <w:tc>
          <w:p>
            <w:r>
              <w:t xml:space="preserve">2</w:t>
            </w:r>
          </w:p>
        </w:tc>
        <w:tc>
          <w:p>
            <w:r>
              <w:t xml:space="preserve">02.05.2027</w:t>
            </w:r>
          </w:p>
        </w:tc>
        <w:tc>
          <w:p>
            <w:r>
              <w:t xml:space="preserve">P05 progress report §3</w:t>
            </w:r>
          </w:p>
        </w:tc>
      </w:tr>
      <w:tr>
        <w:trPr>
          <w:tblHeader w:val="false"/>
        </w:trPr>
        <w:tc>
          <w:tcPr>
            <w:shd w:fill="F5F5F5" w:val="clear"/>
          </w:tcPr>
          <w:p>
            <w:r>
              <w:t xml:space="preserve">P06 (Aug 2026)</w:t>
            </w:r>
          </w:p>
        </w:tc>
        <w:tc>
          <w:tcPr>
            <w:shd w:fill="F5F5F5" w:val="clear"/>
          </w:tcPr>
          <w:p>
            <w:r>
              <w:t xml:space="preserve">DH2 piling → DH1 pile caps → DH2 slab</w:t>
            </w:r>
          </w:p>
        </w:tc>
        <w:tc>
          <w:tcPr>
            <w:shd w:fill="F5F5F5" w:val="clear"/>
          </w:tcPr>
          <w:p>
            <w:r>
              <w:t xml:space="preserve">1</w:t>
            </w:r>
          </w:p>
        </w:tc>
        <w:tc>
          <w:tcPr>
            <w:shd w:fill="F5F5F5" w:val="clear"/>
          </w:tcPr>
          <w:p>
            <w:r>
              <w:t xml:space="preserve">02.05.2027</w:t>
            </w:r>
          </w:p>
        </w:tc>
        <w:tc>
          <w:tcPr>
            <w:shd w:fill="F5F5F5" w:val="clear"/>
          </w:tcPr>
          <w:p>
            <w:r>
              <w:t xml:space="preserve">P06 progress report §3</w:t>
            </w:r>
          </w:p>
        </w:tc>
      </w:tr>
      <w:tr>
        <w:trPr>
          <w:tblHeader w:val="false"/>
        </w:trPr>
        <w:tc>
          <w:p>
            <w:r>
              <w:rPr>
                <w:b/>
                <w:bCs/>
              </w:rPr>
              <w:t xml:space="preserve">P07 (Sep 2026)</w:t>
            </w:r>
          </w:p>
        </w:tc>
        <w:tc>
          <w:p>
            <w:r>
              <w:rPr>
                <w:b/>
                <w:bCs/>
              </w:rPr>
              <w:t xml:space="preserve">DH2 ground-floor slab → DH1 pile caps → 110 kV commissioning</w:t>
            </w:r>
          </w:p>
        </w:tc>
        <w:tc>
          <w:p>
            <w:r>
              <w:rPr>
                <w:b/>
                <w:bCs/>
              </w:rPr>
              <w:t xml:space="preserve">0</w:t>
            </w:r>
          </w:p>
        </w:tc>
        <w:tc>
          <w:p>
            <w:r>
              <w:rPr>
                <w:b/>
                <w:bCs/>
              </w:rPr>
              <w:t xml:space="preserve">02.05.2027</w:t>
            </w:r>
          </w:p>
        </w:tc>
        <w:tc>
          <w:p>
            <w:r>
              <w:t xml:space="preserve">PDC-MIN-P07 §4 (TL); tracked via SLP-L7 pin</w:t>
            </w:r>
          </w:p>
        </w:tc>
      </w:tr>
    </w:tbl>
    <w:p/>
    <w:p>
      <w:pPr>
        <w:pStyle w:val="Heading1"/>
        <w:pBdr>
          <w:bottom w:val="single" w:color="1F6FB2" w:sz="6"/>
        </w:pBdr>
        <w:spacing w:after="120" w:before="240"/>
      </w:pPr>
      <w:r>
        <w:rPr>
          <w:b/>
          <w:bCs/>
          <w:color w:val="0F2E4C"/>
        </w:rPr>
        <w:t xml:space="preserve">— IL-1400 — quoted baseline figures (PDC-SCH-005 Rev2) and derived float analysis</w:t>
      </w:r>
    </w:p>
    <w:p>
      <w:pPr>
        <w:spacing w:after="120"/>
      </w:pPr>
      <w:r>
        <w:rPr>
          <w:b/>
          <w:bCs/>
        </w:rPr>
        <w:t xml:space="preserve">Derived float analysis</w:t>
      </w:r>
      <w:r>
        <w:t xml:space="preserve"> — labelled as such, not a quoted baseline figure:</w:t>
      </w:r>
    </w:p>
    <w:p>
      <w:pPr>
        <w:spacing w:after="120"/>
      </w:pPr>
      <w:r>
        <w:t xml:space="preserve">The "67 wd of float to Section 1" figure in this report is therefore explicitly a </w:t>
      </w:r>
      <w:r>
        <w:rPr>
          <w:b/>
          <w:bCs/>
        </w:rPr>
        <w:t xml:space="preserve">derivation</w:t>
      </w:r>
      <w:r>
        <w:t xml:space="preserve">, not a quotation. It is built from the PDC-SCH-005 Rev2 baseline dates and durations and the Section 1 milestone per PDC-MIN-P07 §4. The Rev2 baseline reports no float column; if the figure is challenged, the response is the working above, not "the baseline says so".</w:t>
      </w:r>
    </w:p>
    <w:p>
      <w:pPr>
        <w:spacing w:after="120"/>
      </w:pPr>
      <w:r>
        <w:rPr>
          <w:b/>
          <w:bCs/>
        </w:rPr>
        <w:t xml:space="preserve">What this means for Section 1</w:t>
      </w:r>
      <w:r>
        <w:t xml:space="preserve"> — the date for Section 1 completion (02.05.2027) is </w:t>
      </w:r>
      <w:r>
        <w:rPr>
          <w:b/>
          <w:bCs/>
        </w:rPr>
        <w:t xml:space="preserve">unchanged</w:t>
      </w:r>
      <w:r>
        <w:t xml:space="preserve"> at this period, but the chain is now sensitive to the 110 kV revised energisation date (24.04.2027, per PDC-LTR-PMC-014). The 110 kV activity is 8 days before Section 1. A modelled response on the 110 kV time impact is owed by 31.10.2026 (A07-05).</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Element</w:t>
            </w:r>
          </w:p>
        </w:tc>
        <w:tc>
          <w:tcPr>
            <w:shd w:fill="0F2E4C" w:val="clear"/>
          </w:tcPr>
          <w:p>
            <w:pPr>
              <w:jc w:val="left"/>
            </w:pPr>
            <w:r>
              <w:rPr>
                <w:b/>
                <w:bCs/>
                <w:color w:val="FFFFFF"/>
              </w:rPr>
              <w:t xml:space="preserve">Value</w:t>
            </w:r>
          </w:p>
        </w:tc>
        <w:tc>
          <w:tcPr>
            <w:shd w:fill="0F2E4C" w:val="clear"/>
          </w:tcPr>
          <w:p>
            <w:pPr>
              <w:jc w:val="left"/>
            </w:pPr>
            <w:r>
              <w:rPr>
                <w:b/>
                <w:bCs/>
                <w:color w:val="FFFFFF"/>
              </w:rPr>
              <w:t xml:space="preserve">Source</w:t>
            </w:r>
          </w:p>
        </w:tc>
      </w:tr>
      <w:tr>
        <w:trPr>
          <w:tblHeader w:val="false"/>
        </w:trPr>
        <w:tc>
          <w:p>
            <w:r>
              <w:t xml:space="preserve">Activity ID</w:t>
            </w:r>
          </w:p>
        </w:tc>
        <w:tc>
          <w:p>
            <w:r>
              <w:rPr>
                <w:b/>
                <w:bCs/>
              </w:rPr>
              <w:t xml:space="preserve">IL-1400</w:t>
            </w:r>
          </w:p>
        </w:tc>
        <w:tc>
          <w:p>
            <w:r>
              <w:t xml:space="preserve">PDC-SCH-005 Rev2, Activities sheet</w:t>
            </w:r>
          </w:p>
        </w:tc>
      </w:tr>
      <w:tr>
        <w:trPr>
          <w:tblHeader w:val="false"/>
        </w:trPr>
        <w:tc>
          <w:tcPr>
            <w:shd w:fill="F5F5F5" w:val="clear"/>
          </w:tcPr>
          <w:p>
            <w:r>
              <w:t xml:space="preserve">Description</w:t>
            </w:r>
          </w:p>
        </w:tc>
        <w:tc>
          <w:tcPr>
            <w:shd w:fill="F5F5F5" w:val="clear"/>
          </w:tcPr>
          <w:p>
            <w:r>
              <w:rPr>
                <w:b/>
                <w:bCs/>
              </w:rPr>
              <w:t xml:space="preserve">Chilled water pipework — primary spine</w:t>
            </w:r>
          </w:p>
        </w:tc>
        <w:tc>
          <w:tcPr>
            <w:shd w:fill="F5F5F5" w:val="clear"/>
          </w:tcPr>
          <w:p>
            <w:r>
              <w:t xml:space="preserve">PDC-SCH-005 Rev2</w:t>
            </w:r>
          </w:p>
        </w:tc>
      </w:tr>
      <w:tr>
        <w:trPr>
          <w:tblHeader w:val="false"/>
        </w:trPr>
        <w:tc>
          <w:p>
            <w:r>
              <w:rPr>
                <w:b/>
                <w:bCs/>
              </w:rPr>
              <w:t xml:space="preserve">Baseline duration</w:t>
            </w:r>
          </w:p>
        </w:tc>
        <w:tc>
          <w:p>
            <w:r>
              <w:rPr>
                <w:b/>
                <w:bCs/>
              </w:rPr>
              <w:t xml:space="preserve">70 working days</w:t>
            </w:r>
          </w:p>
        </w:tc>
        <w:tc>
          <w:p>
            <w:r>
              <w:t xml:space="preserve">PDC-SCH-005 Rev2</w:t>
            </w:r>
          </w:p>
        </w:tc>
      </w:tr>
      <w:tr>
        <w:trPr>
          <w:tblHeader w:val="false"/>
        </w:trPr>
        <w:tc>
          <w:tcPr>
            <w:shd w:fill="F5F5F5" w:val="clear"/>
          </w:tcPr>
          <w:p>
            <w:r>
              <w:rPr>
                <w:b/>
                <w:bCs/>
              </w:rPr>
              <w:t xml:space="preserve">Baseline start</w:t>
            </w:r>
          </w:p>
        </w:tc>
        <w:tc>
          <w:tcPr>
            <w:shd w:fill="F5F5F5" w:val="clear"/>
          </w:tcPr>
          <w:p>
            <w:r>
              <w:rPr>
                <w:b/>
                <w:bCs/>
              </w:rPr>
              <w:t xml:space="preserve">2026-06-15</w:t>
            </w:r>
          </w:p>
        </w:tc>
        <w:tc>
          <w:tcPr>
            <w:shd w:fill="F5F5F5" w:val="clear"/>
          </w:tcPr>
          <w:p>
            <w:r>
              <w:t xml:space="preserve">PDC-SCH-005 Rev2</w:t>
            </w:r>
          </w:p>
        </w:tc>
      </w:tr>
      <w:tr>
        <w:trPr>
          <w:tblHeader w:val="false"/>
        </w:trPr>
        <w:tc>
          <w:p>
            <w:r>
              <w:rPr>
                <w:b/>
                <w:bCs/>
              </w:rPr>
              <w:t xml:space="preserve">Baseline finish</w:t>
            </w:r>
          </w:p>
        </w:tc>
        <w:tc>
          <w:p>
            <w:r>
              <w:rPr>
                <w:b/>
                <w:bCs/>
              </w:rPr>
              <w:t xml:space="preserve">2026-10-12</w:t>
            </w:r>
          </w:p>
        </w:tc>
        <w:tc>
          <w:p>
            <w:r>
              <w:t xml:space="preserve">PDC-SCH-005 Rev2</w:t>
            </w:r>
          </w:p>
        </w:tc>
      </w:tr>
      <w:tr>
        <w:trPr>
          <w:tblHeader w:val="false"/>
        </w:trPr>
        <w:tc>
          <w:tcPr>
            <w:shd w:fill="F5F5F5" w:val="clear"/>
          </w:tcPr>
          <w:p>
            <w:r>
              <w:rPr>
                <w:b/>
                <w:bCs/>
              </w:rPr>
              <w:t xml:space="preserve">Predecessor</w:t>
            </w:r>
          </w:p>
        </w:tc>
        <w:tc>
          <w:tcPr>
            <w:shd w:fill="F5F5F5" w:val="clear"/>
          </w:tcPr>
          <w:p>
            <w:r>
              <w:rPr>
                <w:b/>
                <w:bCs/>
              </w:rPr>
              <w:t xml:space="preserve">IL-1311</w:t>
            </w:r>
          </w:p>
        </w:tc>
        <w:tc>
          <w:tcPr>
            <w:shd w:fill="F5F5F5" w:val="clear"/>
          </w:tcPr>
          <w:p>
            <w:r>
              <w:t xml:space="preserve">PDC-SCH-005 Rev2 — slab structure, COMPLETE per diary 21.09.2026</w:t>
            </w:r>
          </w:p>
        </w:tc>
      </w:tr>
      <w:tr>
        <w:trPr>
          <w:tblHeader w:val="false"/>
        </w:trPr>
        <w:tc>
          <w:p>
            <w:r>
              <w:t xml:space="preserve">Notes (baseline)</w:t>
            </w:r>
          </w:p>
        </w:tc>
        <w:tc>
          <w:p>
            <w:r>
              <w:t xml:space="preserve">"Two welding gangs, 2,850m per BoQ F.06"</w:t>
            </w:r>
          </w:p>
        </w:tc>
        <w:tc>
          <w:p>
            <w:r>
              <w:t xml:space="preserve">PDC-SCH-005 Rev2</w:t>
            </w:r>
          </w:p>
        </w:tc>
      </w:tr>
      <w:tr>
        <w:trPr>
          <w:tblHeader w:val="false"/>
        </w:trPr>
        <w:tc>
          <w:tcPr>
            <w:shd w:fill="F5F5F5" w:val="clear"/>
          </w:tcPr>
          <w:p>
            <w:r>
              <w:rPr>
                <w:b/>
                <w:bCs/>
              </w:rPr>
              <w:t xml:space="preserve">Float (baseline column)</w:t>
            </w:r>
          </w:p>
        </w:tc>
        <w:tc>
          <w:tcPr>
            <w:shd w:fill="F5F5F5" w:val="clear"/>
          </w:tcPr>
          <w:p>
            <w:r>
              <w:rPr>
                <w:b/>
                <w:bCs/>
              </w:rPr>
              <w:t xml:space="preserve">NOT REPORTED</w:t>
            </w:r>
            <w:r>
              <w:t xml:space="preserve"> — PDC-SCH-005 Rev2 has no float column</w:t>
            </w:r>
          </w:p>
        </w:tc>
        <w:tc>
          <w:tcPr>
            <w:shd w:fill="F5F5F5" w:val="clear"/>
          </w:tcPr>
          <w:p>
            <w:r>
              <w:t xml:space="preserve">PDC-SCH-005 Rev2 — only Dur / Start / Finish / Predecessor / Notes columns</w:t>
            </w:r>
          </w:p>
        </w:tc>
      </w:tr>
      <w:tr>
        <w:trPr>
          <w:tblHeader w:val="false"/>
        </w:trPr>
        <w:tc>
          <w:p>
            <w:r>
              <w:t xml:space="preserve">Successor on critical path</w:t>
            </w:r>
          </w:p>
        </w:tc>
        <w:tc>
          <w:p>
            <w:r>
              <w:t xml:space="preserve">IL-1510 Chiller installation and pipework connection</w:t>
            </w:r>
          </w:p>
        </w:tc>
        <w:tc>
          <w:p>
            <w:r>
              <w:t xml:space="preserve">PDC-SCH-005 Rev2</w:t>
            </w:r>
          </w:p>
        </w:tc>
      </w:tr>
      <w:tr>
        <w:trPr>
          <w:tblHeader w:val="false"/>
        </w:trPr>
        <w:tc>
          <w:tcPr>
            <w:shd w:fill="F5F5F5" w:val="clear"/>
          </w:tcPr>
          <w:p>
            <w:r>
              <w:t xml:space="preserve">IL-1510 duration</w:t>
            </w:r>
          </w:p>
        </w:tc>
        <w:tc>
          <w:tcPr>
            <w:shd w:fill="F5F5F5" w:val="clear"/>
          </w:tcPr>
          <w:p>
            <w:r>
              <w:t xml:space="preserve">20 working days</w:t>
            </w:r>
          </w:p>
        </w:tc>
        <w:tc>
          <w:tcPr>
            <w:shd w:fill="F5F5F5" w:val="clear"/>
          </w:tcPr>
          <w:p>
            <w:r>
              <w:t xml:space="preserve">PDC-SCH-005 Rev2</w:t>
            </w:r>
          </w:p>
        </w:tc>
      </w:tr>
      <w:tr>
        <w:trPr>
          <w:tblHeader w:val="false"/>
        </w:trPr>
        <w:tc>
          <w:p>
            <w:r>
              <w:t xml:space="preserve">IL-1510 start</w:t>
            </w:r>
          </w:p>
        </w:tc>
        <w:tc>
          <w:p>
            <w:r>
              <w:t xml:space="preserve">2027-01-29</w:t>
            </w:r>
          </w:p>
        </w:tc>
        <w:tc>
          <w:p>
            <w:r>
              <w:t xml:space="preserve">PDC-SCH-005 Rev2</w:t>
            </w:r>
          </w:p>
        </w:tc>
      </w:tr>
      <w:tr>
        <w:trPr>
          <w:tblHeader w:val="false"/>
        </w:trPr>
        <w:tc>
          <w:tcPr>
            <w:shd w:fill="F5F5F5" w:val="clear"/>
          </w:tcPr>
          <w:p>
            <w:r>
              <w:t xml:space="preserve">IL-1510 finish</w:t>
            </w:r>
          </w:p>
        </w:tc>
        <w:tc>
          <w:tcPr>
            <w:shd w:fill="F5F5F5" w:val="clear"/>
          </w:tcPr>
          <w:p>
            <w:r>
              <w:t xml:space="preserve">2027-02-25</w:t>
            </w:r>
          </w:p>
        </w:tc>
        <w:tc>
          <w:tcPr>
            <w:shd w:fill="F5F5F5" w:val="clear"/>
          </w:tcPr>
          <w:p>
            <w:r>
              <w:t xml:space="preserve">PDC-SCH-005 Rev2</w:t>
            </w:r>
          </w:p>
        </w:tc>
      </w:tr>
      <w:tr>
        <w:trPr>
          <w:tblHeader w:val="false"/>
        </w:trPr>
        <w:tc>
          <w:p>
            <w:r>
              <w:t xml:space="preserve">IL-1510 predecessors</w:t>
            </w:r>
          </w:p>
        </w:tc>
        <w:tc>
          <w:p>
            <w:r>
              <w:t xml:space="preserve">IL-1210, IL-1400</w:t>
            </w:r>
          </w:p>
        </w:tc>
        <w:tc>
          <w:p>
            <w:r>
              <w:t xml:space="preserve">PDC-SCH-005 Rev2</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Element</w:t>
            </w:r>
          </w:p>
        </w:tc>
        <w:tc>
          <w:tcPr>
            <w:shd w:fill="0F2E4C" w:val="clear"/>
          </w:tcPr>
          <w:p>
            <w:pPr>
              <w:jc w:val="left"/>
            </w:pPr>
            <w:r>
              <w:rPr>
                <w:b/>
                <w:bCs/>
                <w:color w:val="FFFFFF"/>
              </w:rPr>
              <w:t xml:space="preserve">Value</w:t>
            </w:r>
          </w:p>
        </w:tc>
        <w:tc>
          <w:tcPr>
            <w:shd w:fill="0F2E4C" w:val="clear"/>
          </w:tcPr>
          <w:p>
            <w:pPr>
              <w:jc w:val="left"/>
            </w:pPr>
            <w:r>
              <w:rPr>
                <w:b/>
                <w:bCs/>
                <w:color w:val="FFFFFF"/>
              </w:rPr>
              <w:t xml:space="preserve">Note</w:t>
            </w:r>
          </w:p>
        </w:tc>
      </w:tr>
      <w:tr>
        <w:trPr>
          <w:tblHeader w:val="false"/>
        </w:trPr>
        <w:tc>
          <w:p>
            <w:r>
              <w:t xml:space="preserve">IL-1400 finish → IL-1510 finish</w:t>
            </w:r>
          </w:p>
        </w:tc>
        <w:tc>
          <w:p>
            <w:r>
              <w:t xml:space="preserve">IL-1400 baseline finish 2026-10-12 → IL-1510 finish 2027-02-25 (predecessor link)</w:t>
            </w:r>
          </w:p>
        </w:tc>
        <w:tc>
          <w:p>
            <w:r>
              <w:t xml:space="preserve">PDC-SCH-005 Rev2</w:t>
            </w:r>
          </w:p>
        </w:tc>
      </w:tr>
      <w:tr>
        <w:trPr>
          <w:tblHeader w:val="false"/>
        </w:trPr>
        <w:tc>
          <w:tcPr>
            <w:shd w:fill="F5F5F5" w:val="clear"/>
          </w:tcPr>
          <w:p>
            <w:r>
              <w:t xml:space="preserve">IL-1510 finish → Section 1 (2027-05-02)</w:t>
            </w:r>
          </w:p>
        </w:tc>
        <w:tc>
          <w:tcPr>
            <w:shd w:fill="F5F5F5" w:val="clear"/>
          </w:tcPr>
          <w:p>
            <w:r>
              <w:t xml:space="preserve">66 calendar days = 47 working days</w:t>
            </w:r>
          </w:p>
        </w:tc>
        <w:tc>
          <w:tcPr>
            <w:shd w:fill="F5F5F5" w:val="clear"/>
          </w:tcPr>
          <w:p>
            <w:r>
              <w:t xml:space="preserve">Calendar arithmetic; Section 1 per PDC-MIN-P07 §4</w:t>
            </w:r>
          </w:p>
        </w:tc>
      </w:tr>
      <w:tr>
        <w:trPr>
          <w:tblHeader w:val="false"/>
        </w:trPr>
        <w:tc>
          <w:p>
            <w:r>
              <w:t xml:space="preserve">Buffer (commissioning, access, finishing)</w:t>
            </w:r>
          </w:p>
        </w:tc>
        <w:tc>
          <w:p>
            <w:r>
              <w:t xml:space="preserve">20 wd (accepted programme Sections L+M)</w:t>
            </w:r>
          </w:p>
        </w:tc>
        <w:tc>
          <w:p>
            <w:r>
              <w:t xml:space="preserve">Main contract programme</w:t>
            </w:r>
          </w:p>
        </w:tc>
      </w:tr>
      <w:tr>
        <w:trPr>
          <w:tblHeader w:val="false"/>
        </w:trPr>
        <w:tc>
          <w:tcPr>
            <w:shd w:fill="F5F5F5" w:val="clear"/>
          </w:tcPr>
          <w:p>
            <w:r>
              <w:rPr>
                <w:b/>
                <w:bCs/>
              </w:rPr>
              <w:t xml:space="preserve">DERIVED IL-1400 float to Section 1 (NOT quoted in baseline)</w:t>
            </w:r>
          </w:p>
        </w:tc>
        <w:tc>
          <w:tcPr>
            <w:shd w:fill="F5F5F5" w:val="clear"/>
          </w:tcPr>
          <w:p>
            <w:r>
              <w:rPr>
                <w:b/>
                <w:bCs/>
              </w:rPr>
              <w:t xml:space="preserve">AT LEAST 67 WORKING DAYS</w:t>
            </w:r>
          </w:p>
        </w:tc>
        <w:tc>
          <w:tcPr>
            <w:shd w:fill="F5F5F5" w:val="clear"/>
          </w:tcPr>
          <w:p>
            <w:r>
              <w:rPr>
                <w:b/>
                <w:bCs/>
              </w:rPr>
              <w:t xml:space="preserve">DERIVATION: IL-1400 finish + IL-1510 successor + 47 wd calendar + 20 wd buffer. This figure is NOT a quoted baseline float — the baseline has no float column.</w:t>
            </w:r>
          </w:p>
        </w:tc>
      </w:tr>
      <w:tr>
        <w:trPr>
          <w:tblHeader w:val="false"/>
        </w:trPr>
        <w:tc>
          <w:p>
            <w:r>
              <w:t xml:space="preserve">Position on critical path</w:t>
            </w:r>
          </w:p>
        </w:tc>
        <w:tc>
          <w:p>
            <w:r>
              <w:t xml:space="preserve">NOT on Section 1 critical path</w:t>
            </w:r>
          </w:p>
        </w:tc>
        <w:tc>
          <w:p>
            <w:r>
              <w:t xml:space="preserve">PDC-MIN-P07 §4 (TL)</w:t>
            </w:r>
          </w:p>
        </w:tc>
      </w:tr>
      <w:tr>
        <w:trPr>
          <w:tblHeader w:val="false"/>
        </w:trPr>
        <w:tc>
          <w:tcPr>
            <w:shd w:fill="F5F5F5" w:val="clear"/>
          </w:tcPr>
          <w:p>
            <w:r>
              <w:t xml:space="preserve">Implication for ILM-NOT-003</w:t>
            </w:r>
          </w:p>
        </w:tc>
        <w:tc>
          <w:tcPr>
            <w:shd w:fill="F5F5F5" w:val="clear"/>
          </w:tcPr>
          <w:p>
            <w:r>
              <w:t xml:space="preserve">Cannot affect Section 1 date — derived 67 wd from baseline dates</w:t>
            </w:r>
          </w:p>
        </w:tc>
        <w:tc>
          <w:tcPr>
            <w:shd w:fill="F5F5F5" w:val="clear"/>
          </w:tcPr>
          <w:p>
            <w:r>
              <w:t xml:space="preserve">Computed from quoted baseline dates; NOT a quoted baseline float</w:t>
            </w:r>
          </w:p>
        </w:tc>
      </w:tr>
    </w:tbl>
    <w:p/>
    <w:p>
      <w:pPr>
        <w:pStyle w:val="Heading1"/>
        <w:pBdr>
          <w:bottom w:val="single" w:color="1F6FB2" w:sz="6"/>
        </w:pBdr>
        <w:spacing w:after="120" w:before="240"/>
      </w:pPr>
      <w:r>
        <w:rPr>
          <w:b/>
          <w:bCs/>
          <w:color w:val="0F2E4C"/>
        </w:rPr>
        <w:t xml:space="preserve">4. Significant Variances</w:t>
      </w:r>
    </w:p>
    <w:p>
      <w:pPr>
        <w:spacing w:after="120"/>
      </w:pPr>
      <w:r>
        <w:t xml:space="preserve">This is the table the commercial team reads first. Money proportionate to risk allocation.</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E4C" w:val="clear"/>
          </w:tcPr>
          <w:p>
            <w:pPr>
              <w:jc w:val="left"/>
            </w:pPr>
            <w:r>
              <w:rPr>
                <w:b/>
                <w:bCs/>
                <w:color w:val="FFFFFF"/>
              </w:rPr>
              <w:t xml:space="preserve">ID</w:t>
            </w:r>
          </w:p>
        </w:tc>
        <w:tc>
          <w:tcPr>
            <w:shd w:fill="0F2E4C" w:val="clear"/>
          </w:tcPr>
          <w:p>
            <w:pPr>
              <w:jc w:val="left"/>
            </w:pPr>
            <w:r>
              <w:rPr>
                <w:b/>
                <w:bCs/>
                <w:color w:val="FFFFFF"/>
              </w:rPr>
              <w:t xml:space="preserve">Item</w:t>
            </w:r>
          </w:p>
        </w:tc>
        <w:tc>
          <w:tcPr>
            <w:shd w:fill="0F2E4C" w:val="clear"/>
          </w:tcPr>
          <w:p>
            <w:pPr>
              <w:jc w:val="left"/>
            </w:pPr>
            <w:r>
              <w:rPr>
                <w:b/>
                <w:bCs/>
                <w:color w:val="FFFFFF"/>
              </w:rPr>
              <w:t xml:space="preserve">Variance (cost or time)</w:t>
            </w:r>
          </w:p>
        </w:tc>
        <w:tc>
          <w:tcPr>
            <w:shd w:fill="0F2E4C" w:val="clear"/>
          </w:tcPr>
          <w:p>
            <w:pPr>
              <w:jc w:val="left"/>
            </w:pPr>
            <w:r>
              <w:rPr>
                <w:b/>
                <w:bCs/>
                <w:color w:val="FFFFFF"/>
              </w:rPr>
              <w:t xml:space="preserve">Cause</w:t>
            </w:r>
          </w:p>
        </w:tc>
        <w:tc>
          <w:tcPr>
            <w:shd w:fill="0F2E4C" w:val="clear"/>
          </w:tcPr>
          <w:p>
            <w:pPr>
              <w:jc w:val="left"/>
            </w:pPr>
            <w:r>
              <w:rPr>
                <w:b/>
                <w:bCs/>
                <w:color w:val="FFFFFF"/>
              </w:rPr>
              <w:t xml:space="preserve">Risk allocation / proportionate</w:t>
            </w:r>
          </w:p>
        </w:tc>
      </w:tr>
      <w:tr>
        <w:trPr>
          <w:tblHeader w:val="false"/>
        </w:trPr>
        <w:tc>
          <w:p>
            <w:r>
              <w:t xml:space="preserve">V-01</w:t>
            </w:r>
          </w:p>
        </w:tc>
        <w:tc>
          <w:p>
            <w:r>
              <w:t xml:space="preserve">Activity subset: CPI 0.697 / EAC EUR 11.97M. Full BAC: CPI 0.902 / EAC EUR 102.4M.</w:t>
            </w:r>
          </w:p>
        </w:tc>
        <w:tc>
          <w:p>
            <w:r>
              <w:t xml:space="preserve">CV EUR −2,350,950 vs BAC EUR 8,342,800 (activity subset). Driven by </w:t>
            </w:r>
            <w:r>
              <w:rPr>
                <w:b/>
                <w:bCs/>
              </w:rPr>
              <w:t xml:space="preserve">C-1100 (cumulative EUR 2,779,300, Kallio)</w:t>
            </w:r>
            <w:r>
              <w:t xml:space="preserve"> and </w:t>
            </w:r>
            <w:r>
              <w:rPr>
                <w:b/>
                <w:bCs/>
              </w:rPr>
              <w:t xml:space="preserve">C-1200 (cumulative EUR 1,016,200, Kallio)</w:t>
            </w:r>
            <w:r>
              <w:t xml:space="preserve">. See Cost Variance Drivers sheet.</w:t>
            </w:r>
          </w:p>
        </w:tc>
        <w:tc>
          <w:p>
            <w:r>
              <w:t xml:space="preserve">Driven by TP-001 Kallio. P05 CPI 0.859 → P06 0.94 (indicative) → P07 0.902 (full BAC) — recovery narrative that masks the Kallio concentration.</w:t>
            </w:r>
          </w:p>
        </w:tc>
        <w:tc>
          <w:p>
            <w:r>
              <w:rPr>
                <w:b/>
                <w:bCs/>
              </w:rPr>
              <w:t xml:space="preserve">Review cost recovery mechanisms</w:t>
            </w:r>
            <w:r>
              <w:t xml:space="preserve"> — Contractor's commercial team to review contractual recovery options (value engineering, provisional sums reallocation, claims for unrecoverable variations). A07-07 by 20.10.2026.</w:t>
            </w:r>
          </w:p>
        </w:tc>
      </w:tr>
      <w:tr>
        <w:trPr>
          <w:tblHeader w:val="false"/>
        </w:trPr>
        <w:tc>
          <w:tcPr>
            <w:shd w:fill="F5F5F5" w:val="clear"/>
          </w:tcPr>
          <w:p>
            <w:r>
              <w:t xml:space="preserve">V-02</w:t>
            </w:r>
          </w:p>
        </w:tc>
        <w:tc>
          <w:tcPr>
            <w:shd w:fill="F5F5F5" w:val="clear"/>
          </w:tcPr>
          <w:p>
            <w:r>
              <w:t xml:space="preserve">ILM-NOT-003</w:t>
            </w:r>
          </w:p>
        </w:tc>
        <w:tc>
          <w:tcPr>
            <w:shd w:fill="F5F5F5" w:val="clear"/>
          </w:tcPr>
          <w:p>
            <w:r>
              <w:t xml:space="preserve">22 WD claimed by Ilmatek on IL-1400.</w:t>
            </w:r>
          </w:p>
        </w:tc>
        <w:tc>
          <w:tcPr>
            <w:shd w:fill="F5F5F5" w:val="clear"/>
          </w:tcPr>
          <w:p>
            <w:r>
              <w:t xml:space="preserve">"Late release of DH2 slab" and "non-availability of pipework supports".</w:t>
            </w:r>
          </w:p>
        </w:tc>
        <w:tc>
          <w:tcPr>
            <w:shd w:fill="F5F5F5" w:val="clear"/>
          </w:tcPr>
          <w:p>
            <w:r>
              <w:rPr>
                <w:b/>
                <w:bCs/>
              </w:rPr>
              <w:t xml:space="preserve">Reasoned deny under PDC-SUB-005 Rev1 Cl. 1.3 (General flow-down) + Cl. 4.1 (EoT back-to-back) + Cl. 4.2 (concurrent delay apportionment), and PDC-PC-001 RevC SP-7 / Sub-Clause 8.5 (apportionment regime; Cost bar retained).</w:t>
            </w:r>
            <w:r>
              <w:t xml:space="preserve"> (a) Spine is </w:t>
            </w:r>
            <w:r>
              <w:rPr>
                <w:b/>
                <w:bCs/>
              </w:rPr>
              <w:t xml:space="preserve">not on the critical path</w:t>
            </w:r>
            <w:r>
              <w:t xml:space="preserve"> (PDC-MIN-P07 §4); (b) baseline dates and durations support derived 67 wd to Section 1 (labelled as derivation); (c) productivity record on Ilmatek side (P05–P07 headcount 12 vs 11 planned; recovery schedule A05-05 not received); (d) Ilmatek within 21-day notice period under Cl. 4.3; (e) under Cl. 4.2 and RevC SP-7 Ilmatek is not entitled to Cost for any period of concurrent delay. </w:t>
            </w:r>
            <w:r>
              <w:rPr>
                <w:b/>
                <w:bCs/>
              </w:rPr>
              <w:t xml:space="preserve">Does not affect Section 1 date.</w:t>
            </w:r>
            <w:r>
              <w:t xml:space="preserve"> A07-04 by 13.10.2026.</w:t>
            </w:r>
          </w:p>
        </w:tc>
      </w:tr>
      <w:tr>
        <w:trPr>
          <w:tblHeader w:val="false"/>
        </w:trPr>
        <w:tc>
          <w:p>
            <w:r>
              <w:t xml:space="preserve">V-03</w:t>
            </w:r>
          </w:p>
        </w:tc>
        <w:tc>
          <w:p>
            <w:r>
              <w:t xml:space="preserve">Kallio PDC-SCH-001 Rev1</w:t>
            </w:r>
          </w:p>
        </w:tc>
        <w:tc>
          <w:p>
            <w:r>
              <w:t xml:space="preserve">Programme of record substitution.</w:t>
            </w:r>
          </w:p>
        </w:tc>
        <w:tc>
          <w:p>
            <w:r>
              <w:t xml:space="preserve">Kallio seek acceptance of Rev1 dated 22.09.2026.</w:t>
            </w:r>
          </w:p>
        </w:tc>
        <w:tc>
          <w:p>
            <w:r>
              <w:rPr>
                <w:b/>
                <w:bCs/>
              </w:rPr>
              <w:t xml:space="preserve">Do not accept the programme.</w:t>
            </w:r>
            <w:r>
              <w:t xml:space="preserve"> Field-by-field review in the workbook (12 items: 4 REJECT, 4 ACCEPT, 4 NOTE). Principal REJECT items: (i) waterproofing completion must align with QS record (90% not 100%); (ii) Act 63 MEP spine is not Kallio's scope (it is Ilmatek's IL-1400); (iii) Act 60 / 61 DH3 / DH4 are beyond P07 scope; (iv) Kallio must declare float. See Kallio SCH rev1 change log sheet.</w:t>
            </w:r>
          </w:p>
        </w:tc>
      </w:tr>
      <w:tr>
        <w:trPr>
          <w:tblHeader w:val="false"/>
        </w:trPr>
        <w:tc>
          <w:tcPr>
            <w:shd w:fill="F5F5F5" w:val="clear"/>
          </w:tcPr>
          <w:p>
            <w:r>
              <w:t xml:space="preserve">V-04</w:t>
            </w:r>
          </w:p>
        </w:tc>
        <w:tc>
          <w:tcPr>
            <w:shd w:fill="F5F5F5" w:val="clear"/>
          </w:tcPr>
          <w:p>
            <w:r>
              <w:t xml:space="preserve">DH2 waterproofing</w:t>
            </w:r>
          </w:p>
        </w:tc>
        <w:tc>
          <w:tcPr>
            <w:shd w:fill="F5F5F5" w:val="clear"/>
          </w:tcPr>
          <w:p>
            <w:r>
              <w:t xml:space="preserve">90% cum (QS) vs 100% cert (Kallio).</w:t>
            </w:r>
          </w:p>
        </w:tc>
        <w:tc>
          <w:tcPr>
            <w:shd w:fill="F5F5F5" w:val="clear"/>
          </w:tcPr>
          <w:p>
            <w:r>
              <w:t xml:space="preserve">Bay W4 upstands ~24 m incomplete at north edge. Slab poured 21.09.2026 over non-conforming work. </w:t>
            </w:r>
            <w:r>
              <w:rPr>
                <w:b/>
                <w:bCs/>
              </w:rPr>
              <w:t xml:space="preserve">Kallio's certificate KMO-QC-0219 was UNWITNESSED</w:t>
            </w:r>
            <w:r>
              <w:t xml:space="preserve"> — Kallio's site QC only, "main contractor representative unavailable" per Kallio's own record.</w:t>
            </w:r>
          </w:p>
        </w:tc>
        <w:tc>
          <w:tcPr>
            <w:shd w:fill="F5F5F5" w:val="clear"/>
          </w:tcPr>
          <w:p>
            <w:r>
              <w:rPr>
                <w:b/>
                <w:bCs/>
              </w:rPr>
              <w:t xml:space="preserve">Pay 90% per QS. NCR PDC-NCR-001 drafted.</w:t>
            </w:r>
            <w:r>
              <w:t xml:space="preserve"> Complete W4 upstands (A07-01 by 07.10.2026) before further pours. The KMO-QC-0219 certificate is not worth the paper — see Certificate Register sheet.</w:t>
            </w:r>
          </w:p>
        </w:tc>
      </w:tr>
      <w:tr>
        <w:trPr>
          <w:tblHeader w:val="false"/>
        </w:trPr>
        <w:tc>
          <w:p>
            <w:r>
              <w:t xml:space="preserve">V-05</w:t>
            </w:r>
          </w:p>
        </w:tc>
        <w:tc>
          <w:p>
            <w:r>
              <w:t xml:space="preserve">110 kV revised energisation</w:t>
            </w:r>
          </w:p>
        </w:tc>
        <w:tc>
          <w:p>
            <w:r>
              <w:t xml:space="preserve">Revised date 24.04.2027 (was 12.03.2027). 43 calendar days slip, plus 13 days to Section 1.</w:t>
            </w:r>
          </w:p>
        </w:tc>
        <w:tc>
          <w:p>
            <w:r>
              <w:t xml:space="preserve">Vantaan Energia reprogramming of regional outage window (PDC-LTR-PMC-014).</w:t>
            </w:r>
          </w:p>
        </w:tc>
        <w:tc>
          <w:p>
            <w:r>
              <w:rPr>
                <w:b/>
                <w:bCs/>
              </w:rPr>
              <w:t xml:space="preserve">Hold-harmless response drafted this period (PDC-LTR-001-021).</w:t>
            </w:r>
            <w:r>
              <w:t xml:space="preserve"> 14-day window the ER set closed 11.09.2026 — </w:t>
            </w:r>
            <w:r>
              <w:rPr>
                <w:b/>
                <w:bCs/>
              </w:rPr>
              <w:t xml:space="preserve">19 days ago at data date</w:t>
            </w:r>
            <w:r>
              <w:t xml:space="preserve"> — and </w:t>
            </w:r>
            <w:r>
              <w:rPr>
                <w:b/>
                <w:bCs/>
              </w:rPr>
              <w:t xml:space="preserve">no response has been issued</w:t>
            </w:r>
            <w:r>
              <w:t xml:space="preserve">. Substance response owed by 31.10.2026. </w:t>
            </w:r>
            <w:r>
              <w:rPr>
                <w:b/>
                <w:bCs/>
              </w:rPr>
              <w:t xml:space="preserve">PDC-PC-001 RevC SP-7 / Sub-Clause 8.5 — apportionment regime (not bar); Cost bar retained. PDC-PC-001 RevC SP-15 / Sub-Clause 20.2.1 — 28-day notice reinstated in full; SP-15 / Sub-Clause 20.2.2 reinstated in full (Engineer's obligation to give notice of non-compliance).</w:t>
            </w:r>
            <w:r>
              <w:t xml:space="preserve"> A07-05.</w:t>
            </w:r>
          </w:p>
        </w:tc>
      </w:tr>
      <w:tr>
        <w:trPr>
          <w:tblHeader w:val="false"/>
        </w:trPr>
        <w:tc>
          <w:tcPr>
            <w:shd w:fill="F5F5F5" w:val="clear"/>
          </w:tcPr>
          <w:p>
            <w:r>
              <w:t xml:space="preserve">V-06</w:t>
            </w:r>
          </w:p>
        </w:tc>
        <w:tc>
          <w:tcPr>
            <w:shd w:fill="F5F5F5" w:val="clear"/>
          </w:tcPr>
          <w:p>
            <w:r>
              <w:t xml:space="preserve">C-1140 (NW zone) EI-004 cost</w:t>
            </w:r>
          </w:p>
        </w:tc>
        <w:tc>
          <w:tcPr>
            <w:shd w:fill="F5F5F5" w:val="clear"/>
          </w:tcPr>
          <w:p>
            <w:r>
              <w:rPr>
                <w:b/>
                <w:bCs/>
              </w:rPr>
              <w:t xml:space="preserve">CORRECTED P07 cycle 2</w:t>
            </w:r>
            <w:r>
              <w:t xml:space="preserve">: Kallio submitted EUR 214,600 (PDC-COST-001-EI004 — 6 lines: 78,200 + 52,400 + 31,900 + 18,600 + 14,700 + 18,800). Our incurred EUR 152,800 (PDC-CVR-P07 — 5 lines: excavation 61,400 / disposal 44,900 / reaming 21,200 / supervision 10,900 / reinstatement 14,400). Difference EUR 61,800.</w:t>
            </w:r>
          </w:p>
        </w:tc>
        <w:tc>
          <w:tcPr>
            <w:shd w:fill="F5F5F5" w:val="clear"/>
          </w:tcPr>
          <w:p>
            <w:r>
              <w:t xml:space="preserve">Both build-ups overlap direct Contractor cost; BOQ item B.04 is a provisional sum EUR 102,762.98 with no rate agreed. The difference is in prolongation prelims (EUR 18,800) and standing time rig 2 (EUR 14,700) — both legitimately Kallio site-cost under EI-004 instruction.</w:t>
            </w:r>
          </w:p>
        </w:tc>
        <w:tc>
          <w:tcPr>
            <w:shd w:fill="F5F5F5" w:val="clear"/>
          </w:tcPr>
          <w:p>
            <w:r>
              <w:rPr>
                <w:b/>
                <w:bCs/>
              </w:rPr>
              <w:t xml:space="preserve">One liability, not two.</w:t>
            </w:r>
            <w:r>
              <w:t xml:space="preserve"> Reconcile under A07-02 by 14.10.2026. The reconciliation meeting should be on the EUR 214,600 figure, not the EUR 178,400 figure circulated in P07 cycle 1.</w:t>
            </w:r>
          </w:p>
        </w:tc>
      </w:tr>
      <w:tr>
        <w:trPr>
          <w:tblHeader w:val="false"/>
        </w:trPr>
        <w:tc>
          <w:p>
            <w:r>
              <w:t xml:space="preserve">V-07</w:t>
            </w:r>
          </w:p>
        </w:tc>
        <w:tc>
          <w:p>
            <w:r>
              <w:t xml:space="preserve">EI-005 main gate security</w:t>
            </w:r>
          </w:p>
        </w:tc>
        <w:tc>
          <w:p>
            <w:r>
              <w:t xml:space="preserve">New Employer instruction 22.09.2026.</w:t>
            </w:r>
          </w:p>
        </w:tc>
        <w:tc>
          <w:p>
            <w:r>
              <w:t xml:space="preserve">ER instructed additional vehicle barrier, gatehouse access upgrade, two cameras.</w:t>
            </w:r>
          </w:p>
        </w:tc>
        <w:tc>
          <w:p>
            <w:r>
              <w:rPr>
                <w:b/>
                <w:bCs/>
              </w:rPr>
              <w:t xml:space="preserve">Quote, no work, no valuation reserve.</w:t>
            </w:r>
            <w:r>
              <w:t xml:space="preserve"> PDC-PC-001 RevC SP-9 / Sub-Clause 13.3.1 — Contractor shall commence execution promptly; Engineer shall make an interim valuation within 28 days if not agreed. 28-day quotation window — quotation due 20.10.2026. No rates agreed. A07-06.</w:t>
            </w:r>
          </w:p>
        </w:tc>
      </w:tr>
      <w:tr>
        <w:trPr>
          <w:tblHeader w:val="false"/>
        </w:trPr>
        <w:tc>
          <w:tcPr>
            <w:shd w:fill="F5F5F5" w:val="clear"/>
          </w:tcPr>
          <w:p>
            <w:r>
              <w:t xml:space="preserve">V-08</w:t>
            </w:r>
          </w:p>
        </w:tc>
        <w:tc>
          <w:tcPr>
            <w:shd w:fill="F5F5F5" w:val="clear"/>
          </w:tcPr>
          <w:p>
            <w:r>
              <w:t xml:space="preserve">R-09 (TMP compound)</w:t>
            </w:r>
          </w:p>
        </w:tc>
        <w:tc>
          <w:tcPr>
            <w:shd w:fill="F5F5F5" w:val="clear"/>
          </w:tcPr>
          <w:p>
            <w:r>
              <w:t xml:space="preserve">Closure.</w:t>
            </w:r>
          </w:p>
        </w:tc>
        <w:tc>
          <w:tcPr>
            <w:shd w:fill="F5F5F5" w:val="clear"/>
          </w:tcPr>
          <w:p>
            <w:r>
              <w:t xml:space="preserve">Lehtinen confirmed 14.09.2026 — 5 days late vs P05 forecast.</w:t>
            </w:r>
          </w:p>
        </w:tc>
        <w:tc>
          <w:tcPr>
            <w:shd w:fill="F5F5F5" w:val="clear"/>
          </w:tcPr>
          <w:p>
            <w:r>
              <w:rPr>
                <w:b/>
                <w:bCs/>
              </w:rPr>
              <w:t xml:space="preserve">Closed — no claim.</w:t>
            </w:r>
          </w:p>
        </w:tc>
      </w:tr>
    </w:tbl>
    <w:p/>
    <w:p>
      <w:pPr>
        <w:pStyle w:val="Heading1"/>
        <w:pBdr>
          <w:bottom w:val="single" w:color="1F6FB2" w:sz="6"/>
        </w:pBdr>
        <w:spacing w:after="120" w:before="240"/>
      </w:pPr>
      <w:r>
        <w:rPr>
          <w:b/>
          <w:bCs/>
          <w:color w:val="0F2E4C"/>
        </w:rPr>
        <w:t xml:space="preserve">5. Source-Conflict Log (governing records)</w:t>
      </w:r>
    </w:p>
    <w:p>
      <w:pPr>
        <w:spacing w:after="120"/>
      </w:pPr>
      <w:r>
        <w:t xml:space="preserve">The rule: where a sub-return and QS / site records disagree, the conflict is logged here, the governing record is named, and the reason given. No silent decisions.</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0F2E4C" w:val="clear"/>
          </w:tcPr>
          <w:p>
            <w:pPr>
              <w:jc w:val="left"/>
            </w:pPr>
            <w:r>
              <w:rPr>
                <w:b/>
                <w:bCs/>
                <w:color w:val="FFFFFF"/>
              </w:rPr>
              <w:t xml:space="preserve">#</w:t>
            </w:r>
          </w:p>
        </w:tc>
        <w:tc>
          <w:tcPr>
            <w:shd w:fill="0F2E4C" w:val="clear"/>
          </w:tcPr>
          <w:p>
            <w:pPr>
              <w:jc w:val="left"/>
            </w:pPr>
            <w:r>
              <w:rPr>
                <w:b/>
                <w:bCs/>
                <w:color w:val="FFFFFF"/>
              </w:rPr>
              <w:t xml:space="preserve">Item</w:t>
            </w:r>
          </w:p>
        </w:tc>
        <w:tc>
          <w:tcPr>
            <w:shd w:fill="0F2E4C" w:val="clear"/>
          </w:tcPr>
          <w:p>
            <w:pPr>
              <w:jc w:val="left"/>
            </w:pPr>
            <w:r>
              <w:rPr>
                <w:b/>
                <w:bCs/>
                <w:color w:val="FFFFFF"/>
              </w:rPr>
              <w:t xml:space="preserve">Sub-return value</w:t>
            </w:r>
          </w:p>
        </w:tc>
        <w:tc>
          <w:tcPr>
            <w:shd w:fill="0F2E4C" w:val="clear"/>
          </w:tcPr>
          <w:p>
            <w:pPr>
              <w:jc w:val="left"/>
            </w:pPr>
            <w:r>
              <w:rPr>
                <w:b/>
                <w:bCs/>
                <w:color w:val="FFFFFF"/>
              </w:rPr>
              <w:t xml:space="preserve">Site/QS record</w:t>
            </w:r>
          </w:p>
        </w:tc>
        <w:tc>
          <w:tcPr>
            <w:shd w:fill="0F2E4C" w:val="clear"/>
          </w:tcPr>
          <w:p>
            <w:pPr>
              <w:jc w:val="left"/>
            </w:pPr>
            <w:r>
              <w:rPr>
                <w:b/>
                <w:bCs/>
                <w:color w:val="FFFFFF"/>
              </w:rPr>
              <w:t xml:space="preserve">**Governing record**</w:t>
            </w:r>
          </w:p>
        </w:tc>
        <w:tc>
          <w:tcPr>
            <w:shd w:fill="0F2E4C" w:val="clear"/>
          </w:tcPr>
          <w:p>
            <w:pPr>
              <w:jc w:val="left"/>
            </w:pPr>
            <w:r>
              <w:rPr>
                <w:b/>
                <w:bCs/>
                <w:color w:val="FFFFFF"/>
              </w:rPr>
              <w:t xml:space="preserve">Reason</w:t>
            </w:r>
          </w:p>
        </w:tc>
        <w:tc>
          <w:tcPr>
            <w:shd w:fill="0F2E4C" w:val="clear"/>
          </w:tcPr>
          <w:p>
            <w:pPr>
              <w:jc w:val="left"/>
            </w:pPr>
            <w:r>
              <w:rPr>
                <w:b/>
                <w:bCs/>
                <w:color w:val="FFFFFF"/>
              </w:rPr>
              <w:t xml:space="preserve">Action</w:t>
            </w:r>
          </w:p>
        </w:tc>
      </w:tr>
      <w:tr>
        <w:trPr>
          <w:tblHeader w:val="false"/>
        </w:trPr>
        <w:tc>
          <w:p>
            <w:r>
              <w:t xml:space="preserve">1</w:t>
            </w:r>
          </w:p>
        </w:tc>
        <w:tc>
          <w:p>
            <w:r>
              <w:t xml:space="preserve">IL-1400 cooling spine % cum</w:t>
            </w:r>
          </w:p>
        </w:tc>
        <w:tc>
          <w:p>
            <w:r>
              <w:t xml:space="preserve">Ilmatek 48% (PDC-PROG-005-P07 row IL-1400)</w:t>
            </w:r>
          </w:p>
        </w:tc>
        <w:tc>
          <w:p>
            <w:r>
              <w:t xml:space="preserve">QS 46% (PDC-LAB-P07 QS 28.09.2026)</w:t>
            </w:r>
          </w:p>
        </w:tc>
        <w:tc>
          <w:p>
            <w:r>
              <w:rPr>
                <w:b/>
                <w:bCs/>
              </w:rPr>
              <w:t xml:space="preserve">QS 46%</w:t>
            </w:r>
          </w:p>
        </w:tc>
        <w:tc>
          <w:p>
            <w:r>
              <w:t xml:space="preserve">PDC-SUB-005 Rev1 Cl. 6.1 requires a monthly application with Contractor certification within 14 days. The Progress Return rules (PDC correspondence) and the CVR-P07 actuals govern the percentage used for the IPC. The subcontract does not carry a specific "pay on QS measurement" clause — that basis sits in the Progress Return rules. The QS site measure governs on the disputed % cum.</w:t>
            </w:r>
          </w:p>
        </w:tc>
        <w:tc>
          <w:p>
            <w:r>
              <w:t xml:space="preserve">Pay at 46% this period; monitor next period</w:t>
            </w:r>
          </w:p>
        </w:tc>
      </w:tr>
      <w:tr>
        <w:trPr>
          <w:tblHeader w:val="false"/>
        </w:trPr>
        <w:tc>
          <w:tcPr>
            <w:shd w:fill="F5F5F5" w:val="clear"/>
          </w:tcPr>
          <w:p>
            <w:r>
              <w:t xml:space="preserve">2</w:t>
            </w:r>
          </w:p>
        </w:tc>
        <w:tc>
          <w:tcPr>
            <w:shd w:fill="F5F5F5" w:val="clear"/>
          </w:tcPr>
          <w:p>
            <w:r>
              <w:t xml:space="preserve">DH2 waterproofing (C-1180)</w:t>
            </w:r>
          </w:p>
        </w:tc>
        <w:tc>
          <w:tcPr>
            <w:shd w:fill="F5F5F5" w:val="clear"/>
          </w:tcPr>
          <w:p>
            <w:r>
              <w:t xml:space="preserve">Kallio 100% (PDC-PROG-001-P07 row 59, complete 18.09.2026, certificate KMO-QC-0219)</w:t>
            </w:r>
          </w:p>
        </w:tc>
        <w:tc>
          <w:tcPr>
            <w:shd w:fill="F5F5F5" w:val="clear"/>
          </w:tcPr>
          <w:p>
            <w:r>
              <w:t xml:space="preserve">QS 90% (PDC-LAB-P07 QS 28–30.09.2026, bay W4 upstands ~24 m incomplete)</w:t>
            </w:r>
          </w:p>
        </w:tc>
        <w:tc>
          <w:tcPr>
            <w:shd w:fill="F5F5F5" w:val="clear"/>
          </w:tcPr>
          <w:p>
            <w:r>
              <w:rPr>
                <w:b/>
                <w:bCs/>
              </w:rPr>
              <w:t xml:space="preserve">QS 90%</w:t>
            </w:r>
          </w:p>
        </w:tc>
        <w:tc>
          <w:tcPr>
            <w:shd w:fill="F5F5F5" w:val="clear"/>
          </w:tcPr>
          <w:p>
            <w:r>
              <w:t xml:space="preserve">Direct site measure. KMO-QC-0219 was UNWITNESSED — Kallio's site QC only, "main contractor representative unavailable" per Kallio's own record. Signed 20.09.2026 (two days after claimed completion). Slab poured 21.09.2026 over the non-conforming work. KMO-QC-0207 (W1+W2) is the only witnessed Kallio certificate on this scope. See Certificate Register sheet.</w:t>
            </w:r>
          </w:p>
        </w:tc>
        <w:tc>
          <w:tcPr>
            <w:shd w:fill="F5F5F5" w:val="clear"/>
          </w:tcPr>
          <w:p>
            <w:r>
              <w:t xml:space="preserve">Pay at 90% this period; raise NCR PDC-NCR-001; require W4 completion before further pours (A07-01 by 07.10.2026)</w:t>
            </w:r>
          </w:p>
        </w:tc>
      </w:tr>
      <w:tr>
        <w:trPr>
          <w:tblHeader w:val="false"/>
        </w:trPr>
        <w:tc>
          <w:p>
            <w:r>
              <w:t xml:space="preserve">3</w:t>
            </w:r>
          </w:p>
        </w:tc>
        <w:tc>
          <w:p>
            <w:r>
              <w:t xml:space="preserve">ILM-NOT-003 EoT (22 WD)</w:t>
            </w:r>
          </w:p>
        </w:tc>
        <w:tc>
          <w:p>
            <w:r>
              <w:t xml:space="preserve">Ilmatek 22 WD (PDC-PROG-005-P07 Notice of Delay sheet, served 24.09.2026)</w:t>
            </w:r>
          </w:p>
        </w:tc>
        <w:tc>
          <w:p>
            <w:r>
              <w:t xml:space="preserve">No contract-side entitlement; productivity record on Ilmatek side</w:t>
            </w:r>
          </w:p>
        </w:tc>
        <w:tc>
          <w:p>
            <w:r>
              <w:rPr>
                <w:b/>
                <w:bCs/>
              </w:rPr>
              <w:t xml:space="preserve">Deny</w:t>
            </w:r>
          </w:p>
        </w:tc>
        <w:tc>
          <w:p>
            <w:r>
              <w:rPr>
                <w:b/>
                <w:bCs/>
              </w:rPr>
              <w:t xml:space="preserve">Reasoned position under PDC-SUB-005 Rev1 + PDC-PC-001 RevC:</w:t>
            </w:r>
            <w:r>
              <w:t xml:space="preserve"> (a) </w:t>
            </w:r>
            <w:r>
              <w:rPr>
                <w:b/>
                <w:bCs/>
              </w:rPr>
              <w:t xml:space="preserve">Cl. 1.3 (General flow-down)</w:t>
            </w:r>
            <w:r>
              <w:t xml:space="preserve"> — verbatim: </w:t>
            </w:r>
            <w:r>
              <w:rPr>
                <w:i/>
                <w:iCs/>
              </w:rPr>
              <w:t xml:space="preserve">"The Subcontractor's rights and obligations in relation to the Subcontract Works are co-extensive with the Contractor's rights and obligations under the Main Contract, so far as they apply to those works. The Subcontractor shall not be entitled to time or money in circumstances where the Contractor would not be entitled to the equivalent relief from the Employer, and no entitlement arises unless and to the extent the Contractor recovers from the Employer in respect of the same matter."</w:t>
            </w:r>
            <w:r>
              <w:t xml:space="preserve"> (b) </w:t>
            </w:r>
            <w:r>
              <w:rPr>
                <w:b/>
                <w:bCs/>
              </w:rPr>
              <w:t xml:space="preserve">Cl. 4.1 (Extension of Time)</w:t>
            </w:r>
            <w:r>
              <w:t xml:space="preserve"> — verbatim: </w:t>
            </w:r>
            <w:r>
              <w:rPr>
                <w:i/>
                <w:iCs/>
              </w:rPr>
              <w:t xml:space="preserve">"The Subcontractor is entitled to an extension of time where completion of any Section is delayed by an act or omission of the Contractor, a variation, or a cause beyond the Subcontractor's reasonable control, </w:t>
            </w:r>
            <w:r>
              <w:rPr>
                <w:i/>
                <w:iCs/>
              </w:rPr>
              <w:t xml:space="preserve">but only to the extent the Contractor obtains a corresponding extension under the Main Contract</w:t>
            </w:r>
            <w:r>
              <w:rPr>
                <w:i/>
                <w:iCs/>
              </w:rPr>
              <w:t xml:space="preserve">."</w:t>
            </w:r>
            <w:r>
              <w:t xml:space="preserve"> (c) </w:t>
            </w:r>
            <w:r>
              <w:rPr>
                <w:b/>
                <w:bCs/>
              </w:rPr>
              <w:t xml:space="preserve">Cl. 4.2 (Concurrent delay)</w:t>
            </w:r>
            <w:r>
              <w:t xml:space="preserve"> — verbatim: </w:t>
            </w:r>
            <w:r>
              <w:rPr>
                <w:i/>
                <w:iCs/>
              </w:rPr>
              <w:t xml:space="preserve">"… the Subcontractor is entitled to an extension of time only for the apportioned share attributable to the Contractor's or Employer's risk events, and is not entitled to Cost for any period of concurrent delay."</w:t>
            </w:r>
            <w:r>
              <w:t xml:space="preserve"> (d) </w:t>
            </w:r>
            <w:r>
              <w:rPr>
                <w:b/>
                <w:bCs/>
              </w:rPr>
              <w:t xml:space="preserve">Cl. 4.3 (21-day notice)</w:t>
            </w:r>
            <w:r>
              <w:t xml:space="preserve"> — ILM-NOT-003 served 24.09.2026; trigger event became known 21.09.2026; within time. (e) </w:t>
            </w:r>
            <w:r>
              <w:rPr>
                <w:b/>
                <w:bCs/>
              </w:rPr>
              <w:t xml:space="preserve">PDC-PC-001 RevC SP-7 / Sub-Clause 8.5 (apportionment regime)</w:t>
            </w:r>
            <w:r>
              <w:t xml:space="preserve"> — verbatim: </w:t>
            </w:r>
            <w:r>
              <w:rPr>
                <w:i/>
                <w:iCs/>
              </w:rPr>
              <w:t xml:space="preserve">"Where a delay for which the Contractor is responsible is concurrent with a delay for which the Contractor would otherwise be entitled to an extension of time, the Engineer shall apportion the delay between the concurrent causes on a fair and reasonable basis, having regard to the contemporary records. The Contractor shall be entitled to an extension of time for the apportioned share attributable to the Employer's risk events, </w:t>
            </w:r>
            <w:r>
              <w:rPr>
                <w:i/>
                <w:iCs/>
              </w:rPr>
              <w:t xml:space="preserve">and shall not be entitled to Cost for any period of concurrent delay</w:t>
            </w:r>
            <w:r>
              <w:rPr>
                <w:i/>
                <w:iCs/>
              </w:rPr>
              <w:t xml:space="preserve">."</w:t>
            </w:r>
            <w:r>
              <w:t xml:space="preserve"> (f) Productivity record on Ilmatek side (P05–P07 headcount 12 vs 11 planned; A05-05 recovery schedule still not received). (g) DH2 slab commenced on programme 21.09.2026 (diary). (h) IL-1400 baseline finish 2026-10-12 (PDC-SCH-005 Rev2) — derived 67 wd to Section 1 (2027-05-02) through successor IL-1510 (finish 2027-02-25) + 47 wd calendar + 20 wd buffer; </w:t>
            </w:r>
            <w:r>
              <w:rPr>
                <w:b/>
                <w:bCs/>
              </w:rPr>
              <w:t xml:space="preserve">figure is a derivation, not a quoted baseline float</w:t>
            </w:r>
            <w:r>
              <w:t xml:space="preserve">. </w:t>
            </w:r>
            <w:r>
              <w:rPr>
                <w:b/>
                <w:bCs/>
              </w:rPr>
              <w:t xml:space="preserve">Does not affect Section 1 date.</w:t>
            </w:r>
          </w:p>
        </w:tc>
        <w:tc>
          <w:p>
            <w:r>
              <w:t xml:space="preserve">Respond by 13.10.2026 under A07-04; deny on cost, deny on time — does not affect Section 1 date</w:t>
            </w:r>
          </w:p>
        </w:tc>
      </w:tr>
      <w:tr>
        <w:trPr>
          <w:tblHeader w:val="false"/>
        </w:trPr>
        <w:tc>
          <w:tcPr>
            <w:shd w:fill="F5F5F5" w:val="clear"/>
          </w:tcPr>
          <w:p>
            <w:r>
              <w:t xml:space="preserve">4</w:t>
            </w:r>
          </w:p>
        </w:tc>
        <w:tc>
          <w:tcPr>
            <w:shd w:fill="F5F5F5" w:val="clear"/>
          </w:tcPr>
          <w:p>
            <w:r>
              <w:t xml:space="preserve">Kallio PDC-SCH-001 Rev1 programme</w:t>
            </w:r>
          </w:p>
        </w:tc>
        <w:tc>
          <w:tcPr>
            <w:shd w:fill="F5F5F5" w:val="clear"/>
          </w:tcPr>
          <w:p>
            <w:r>
              <w:t xml:space="preserve">Kallio request acceptance as programme of record (PDC-SCH-001 Rev1 dated 22.09.2026)</w:t>
            </w:r>
          </w:p>
        </w:tc>
        <w:tc>
          <w:tcPr>
            <w:shd w:fill="F5F5F5" w:val="clear"/>
          </w:tcPr>
          <w:p>
            <w:r>
              <w:t xml:space="preserve">TL did not accept at meeting (PDC-MIN-P07 §4)</w:t>
            </w:r>
          </w:p>
        </w:tc>
        <w:tc>
          <w:tcPr>
            <w:shd w:fill="F5F5F5" w:val="clear"/>
          </w:tcPr>
          <w:p>
            <w:r>
              <w:rPr>
                <w:b/>
                <w:bCs/>
              </w:rPr>
              <w:t xml:space="preserve">Do not accept</w:t>
            </w:r>
          </w:p>
        </w:tc>
        <w:tc>
          <w:tcPr>
            <w:shd w:fill="F5F5F5" w:val="clear"/>
          </w:tcPr>
          <w:p>
            <w:r>
              <w:t xml:space="preserve">Field-by-field review (see Kallio SCH rev1 change log sheet). Rev1 renumbers activities (Act 50–65 instead of GW-1010–1340); Kallio covers MEP spine (Act 63) which is not their scope (it is Ilmatek's IL-1400); introduces DH3/DH4 activities beyond P07 scope; company name changed from "Kallio &amp; Maa Oy" to "Kallio Maanrakennus Oy". Rev1 itself states Section 1 completion date is unaffected. 12 items: 4 REJECT, 4 ACCEPT, 4 NOTE.</w:t>
            </w:r>
          </w:p>
        </w:tc>
        <w:tc>
          <w:tcPr>
            <w:shd w:fill="F5F5F5" w:val="clear"/>
          </w:tcPr>
          <w:p>
            <w:r>
              <w:t xml:space="preserve">See Kallio SCH rev1 change log sheet (this report)</w:t>
            </w:r>
          </w:p>
        </w:tc>
      </w:tr>
      <w:tr>
        <w:trPr>
          <w:tblHeader w:val="false"/>
        </w:trPr>
        <w:tc>
          <w:p>
            <w:r>
              <w:t xml:space="preserve">5</w:t>
            </w:r>
          </w:p>
        </w:tc>
        <w:tc>
          <w:p>
            <w:r>
              <w:t xml:space="preserve">110 kV revised energisation date</w:t>
            </w:r>
          </w:p>
        </w:tc>
        <w:tc>
          <w:p>
            <w:r>
              <w:t xml:space="preserve">ER advised 24.04.2027 (PDC-LTR-PMC-014 dated 28.08.2026)</w:t>
            </w:r>
          </w:p>
        </w:tc>
        <w:tc>
          <w:p>
            <w:r>
              <w:t xml:space="preserve">No Contractor response issued within the 14-day window the ER set (window closed 11.09.2026)</w:t>
            </w:r>
          </w:p>
        </w:tc>
        <w:tc>
          <w:p>
            <w:r>
              <w:rPr>
                <w:b/>
                <w:bCs/>
              </w:rPr>
              <w:t xml:space="preserve">n/a — hold-harmless</w:t>
            </w:r>
          </w:p>
        </w:tc>
        <w:tc>
          <w:p>
            <w:r>
              <w:t xml:space="preserve">The Contractor is currently in default of a contractual request. The 14-day response window closed 11.09.2026 — 19 days ago at data date. Hold-harmless letter drafted (PDC-LTR-001-021, this period) for issue under separate cover. Substance response to follow once the time impact on Section 1 commissioning (MS-06, 02.05.2027) is properly modelled. </w:t>
            </w:r>
            <w:r>
              <w:rPr>
                <w:b/>
                <w:bCs/>
              </w:rPr>
              <w:t xml:space="preserve">PDC-PC-001 RevC SP-7 / Sub-Clause 8.5 — apportionment regime (not bar); Cost bar retained. PDC-PC-001 RevC SP-15 / Sub-Clause 20.2.1 — 28-day notice reinstated in full; SP-15 / Sub-Clause 20.2.2 reinstated in full (Engineer's obligation to give notice of non-compliance).</w:t>
            </w:r>
          </w:p>
        </w:tc>
        <w:tc>
          <w:p>
            <w:r>
              <w:t xml:space="preserve">Issue PDC-LTR-001-021 this week; modelled response by 31.10.2026</w:t>
            </w:r>
          </w:p>
        </w:tc>
      </w:tr>
      <w:tr>
        <w:trPr>
          <w:tblHeader w:val="false"/>
        </w:trPr>
        <w:tc>
          <w:tcPr>
            <w:shd w:fill="F5F5F5" w:val="clear"/>
          </w:tcPr>
          <w:p>
            <w:r>
              <w:t xml:space="preserve">6</w:t>
            </w:r>
          </w:p>
        </w:tc>
        <w:tc>
          <w:tcPr>
            <w:shd w:fill="F5F5F5" w:val="clear"/>
          </w:tcPr>
          <w:p>
            <w:r>
              <w:t xml:space="preserve">C-1140 NW zone cost (EI-004)</w:t>
            </w:r>
          </w:p>
        </w:tc>
        <w:tc>
          <w:tcPr>
            <w:shd w:fill="F5F5F5" w:val="clear"/>
          </w:tcPr>
          <w:p>
            <w:r>
              <w:rPr>
                <w:b/>
                <w:bCs/>
              </w:rPr>
              <w:t xml:space="preserve">CORRECTED P07 cycle 2</w:t>
            </w:r>
            <w:r>
              <w:t xml:space="preserve">: Kallio EUR 214,600 (PDC-COST-001-EI004 dated 16.09.2026 — 6 cost lines summed: 78,200 + 52,400 + 31,900 + 18,600 + 14,700 + 18,800)</w:t>
            </w:r>
          </w:p>
        </w:tc>
        <w:tc>
          <w:tcPr>
            <w:shd w:fill="F5F5F5" w:val="clear"/>
          </w:tcPr>
          <w:p>
            <w:r>
              <w:t xml:space="preserve">Incurred EUR 152,800 (PDC-CVR-P07 C-1140 — 5 cost lines: excavation 61,400 / disposal 44,900 / reaming 21,200 / supervision 10,900 / reinstatement 14,400)</w:t>
            </w:r>
          </w:p>
        </w:tc>
        <w:tc>
          <w:tcPr>
            <w:shd w:fill="F5F5F5" w:val="clear"/>
          </w:tcPr>
          <w:p>
            <w:r>
              <w:rPr>
                <w:b/>
                <w:bCs/>
              </w:rPr>
              <w:t xml:space="preserve">Reconcile</w:t>
            </w:r>
          </w:p>
        </w:tc>
        <w:tc>
          <w:tcPr>
            <w:shd w:fill="F5F5F5" w:val="clear"/>
          </w:tcPr>
          <w:p>
            <w:r>
              <w:t xml:space="preserve">P07 cycle 1 line-tally was wrong (EUR 178,400). Corrected total EUR 214,600. Difference vs incurred EUR 61,800. </w:t>
            </w:r>
            <w:r>
              <w:rPr>
                <w:b/>
                <w:bCs/>
              </w:rPr>
              <w:t xml:space="preserve">One liability, not two.</w:t>
            </w:r>
            <w:r>
              <w:t xml:space="preserve"> Kallio's build-up includes items our CVR does not (prolongation prelims EUR 18,800 + standing time rig 2 EUR 14,700 = EUR 33,500) — both legitimately Kallio site-cost under EI-004 instruction. BOQ item B.04 remains a provisional sum EUR 102,762.98 — no rate agreed.</w:t>
            </w:r>
          </w:p>
        </w:tc>
        <w:tc>
          <w:tcPr>
            <w:shd w:fill="F5F5F5" w:val="clear"/>
          </w:tcPr>
          <w:p>
            <w:r>
              <w:t xml:space="preserve">A07-02 due 14.10.2026 — reconcile prolongation prelims and standing time as legitimate site cost</w:t>
            </w:r>
          </w:p>
        </w:tc>
      </w:tr>
    </w:tbl>
    <w:p/>
    <w:p>
      <w:pPr>
        <w:pStyle w:val="Heading1"/>
        <w:pBdr>
          <w:bottom w:val="single" w:color="1F6FB2" w:sz="6"/>
        </w:pBdr>
        <w:spacing w:after="120" w:before="240"/>
      </w:pPr>
      <w:r>
        <w:rPr>
          <w:b/>
          <w:bCs/>
          <w:color w:val="0F2E4C"/>
        </w:rPr>
        <w:t xml:space="preserve">6. Earned Value</w:t>
      </w:r>
    </w:p>
    <w:p>
      <w:pPr>
        <w:spacing w:after="120"/>
      </w:pPr>
      <w:r>
        <w:rPr>
          <w:b/>
          <w:bCs/>
        </w:rPr>
        <w:t xml:space="preserve">Two bases are used in this report.</w:t>
      </w:r>
      <w:r>
        <w:t xml:space="preserve"> (a) </w:t>
      </w:r>
      <w:r>
        <w:rPr>
          <w:b/>
          <w:bCs/>
        </w:rPr>
        <w:t xml:space="preserve">Activity subset</w:t>
      </w:r>
      <w:r>
        <w:t xml:space="preserve"> (BAC EUR 8.34M) — the working basis for package-level management, conflict log, and variances. (b) </w:t>
      </w:r>
      <w:r>
        <w:rPr>
          <w:b/>
          <w:bCs/>
        </w:rPr>
        <w:t xml:space="preserve">Full contract</w:t>
      </w:r>
      <w:r>
        <w:t xml:space="preserve"> (BAC EUR 92.4M) — comparable to the P05 and P06 workbooks, used for the period-on-period trend.</w:t>
      </w:r>
    </w:p>
    <w:p>
      <w:pPr>
        <w:pStyle w:val="Heading1"/>
        <w:pBdr>
          <w:bottom w:val="single" w:color="1F6FB2" w:sz="6"/>
        </w:pBdr>
        <w:spacing w:after="120" w:before="240"/>
      </w:pPr>
      <w:r>
        <w:rPr>
          <w:b/>
          <w:bCs/>
          <w:color w:val="0F2E4C"/>
        </w:rPr>
        <w:t xml:space="preserve">— 6.1 Activity subset basis (working)</w:t>
      </w:r>
    </w:p>
    <w:p>
      <w:pPr>
        <w:spacing w:after="120"/>
      </w:pPr>
      <w:r>
        <w:t xml:space="preserve">All figures cumulative to 30.09.2026. Activity-level detail in the workbook Activity Progress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Metric</w:t>
            </w:r>
          </w:p>
        </w:tc>
        <w:tc>
          <w:tcPr>
            <w:shd w:fill="0F2E4C" w:val="clear"/>
          </w:tcPr>
          <w:p>
            <w:pPr>
              <w:jc w:val="left"/>
            </w:pPr>
            <w:r>
              <w:rPr>
                <w:b/>
                <w:bCs/>
                <w:color w:val="FFFFFF"/>
              </w:rPr>
              <w:t xml:space="preserve">Value</w:t>
            </w:r>
          </w:p>
        </w:tc>
        <w:tc>
          <w:tcPr>
            <w:shd w:fill="0F2E4C" w:val="clear"/>
          </w:tcPr>
          <w:p>
            <w:pPr>
              <w:jc w:val="left"/>
            </w:pPr>
            <w:r>
              <w:rPr>
                <w:b/>
                <w:bCs/>
                <w:color w:val="FFFFFF"/>
              </w:rPr>
              <w:t xml:space="preserve">Formula basis</w:t>
            </w:r>
          </w:p>
        </w:tc>
        <w:tc>
          <w:tcPr>
            <w:shd w:fill="0F2E4C" w:val="clear"/>
          </w:tcPr>
          <w:p>
            <w:pPr>
              <w:jc w:val="left"/>
            </w:pPr>
            <w:r>
              <w:rPr>
                <w:b/>
                <w:bCs/>
                <w:color w:val="FFFFFF"/>
              </w:rPr>
              <w:t xml:space="preserve">Source</w:t>
            </w:r>
          </w:p>
        </w:tc>
      </w:tr>
      <w:tr>
        <w:trPr>
          <w:tblHeader w:val="false"/>
        </w:trPr>
        <w:tc>
          <w:p>
            <w:r>
              <w:t xml:space="preserve">BAC (activity subset)</w:t>
            </w:r>
          </w:p>
        </w:tc>
        <w:tc>
          <w:p>
            <w:r>
              <w:rPr>
                <w:b/>
                <w:bCs/>
              </w:rPr>
              <w:t xml:space="preserve">EUR 8,342,800</w:t>
            </w:r>
          </w:p>
        </w:tc>
        <w:tc>
          <w:p>
            <w:r>
              <w:t xml:space="preserve">Sum of BOQ values</w:t>
            </w:r>
          </w:p>
        </w:tc>
        <w:tc>
          <w:p>
            <w:r>
              <w:t xml:space="preserve">Activity Progress!K</w:t>
            </w:r>
          </w:p>
        </w:tc>
      </w:tr>
      <w:tr>
        <w:trPr>
          <w:tblHeader w:val="false"/>
        </w:trPr>
        <w:tc>
          <w:tcPr>
            <w:shd w:fill="F5F5F5" w:val="clear"/>
          </w:tcPr>
          <w:p>
            <w:r>
              <w:t xml:space="preserve">PV to date</w:t>
            </w:r>
          </w:p>
        </w:tc>
        <w:tc>
          <w:tcPr>
            <w:shd w:fill="F5F5F5" w:val="clear"/>
          </w:tcPr>
          <w:p>
            <w:r>
              <w:rPr>
                <w:b/>
                <w:bCs/>
              </w:rPr>
              <w:t xml:space="preserve">EUR 5,418,050</w:t>
            </w:r>
          </w:p>
        </w:tc>
        <w:tc>
          <w:tcPr>
            <w:shd w:fill="F5F5F5" w:val="clear"/>
          </w:tcPr>
          <w:p>
            <w:r>
              <w:t xml:space="preserve">sumproduct(planned %, BOQ)</w:t>
            </w:r>
          </w:p>
        </w:tc>
        <w:tc>
          <w:tcPr>
            <w:shd w:fill="F5F5F5" w:val="clear"/>
          </w:tcPr>
          <w:p>
            <w:r>
              <w:t xml:space="preserve">Activity Progress!K</w:t>
            </w:r>
          </w:p>
        </w:tc>
      </w:tr>
      <w:tr>
        <w:trPr>
          <w:tblHeader w:val="false"/>
        </w:trPr>
        <w:tc>
          <w:p>
            <w:r>
              <w:t xml:space="preserve">EV to date</w:t>
            </w:r>
          </w:p>
        </w:tc>
        <w:tc>
          <w:p>
            <w:r>
              <w:rPr>
                <w:b/>
                <w:bCs/>
              </w:rPr>
              <w:t xml:space="preserve">EUR 5,406,850</w:t>
            </w:r>
          </w:p>
        </w:tc>
        <w:tc>
          <w:p>
            <w:r>
              <w:t xml:space="preserve">Sum of agreed % × BOQ</w:t>
            </w:r>
          </w:p>
        </w:tc>
        <w:tc>
          <w:p>
            <w:r>
              <w:t xml:space="preserve">Activity Progress!L</w:t>
            </w:r>
          </w:p>
        </w:tc>
      </w:tr>
      <w:tr>
        <w:trPr>
          <w:tblHeader w:val="false"/>
        </w:trPr>
        <w:tc>
          <w:tcPr>
            <w:shd w:fill="F5F5F5" w:val="clear"/>
          </w:tcPr>
          <w:p>
            <w:r>
              <w:t xml:space="preserve">AC to date (cum)</w:t>
            </w:r>
          </w:p>
        </w:tc>
        <w:tc>
          <w:tcPr>
            <w:shd w:fill="F5F5F5" w:val="clear"/>
          </w:tcPr>
          <w:p>
            <w:r>
              <w:rPr>
                <w:b/>
                <w:bCs/>
              </w:rPr>
              <w:t xml:space="preserve">EUR 7,757,800</w:t>
            </w:r>
          </w:p>
        </w:tc>
        <w:tc>
          <w:tcPr>
            <w:shd w:fill="F5F5F5" w:val="clear"/>
          </w:tcPr>
          <w:p>
            <w:r>
              <w:t xml:space="preserve">Per PDC-CVR-P07</w:t>
            </w:r>
          </w:p>
        </w:tc>
        <w:tc>
          <w:tcPr>
            <w:shd w:fill="F5F5F5" w:val="clear"/>
          </w:tcPr>
          <w:p>
            <w:r>
              <w:t xml:space="preserve">Activity Progress!K</w:t>
            </w:r>
          </w:p>
        </w:tc>
      </w:tr>
      <w:tr>
        <w:trPr>
          <w:tblHeader w:val="false"/>
        </w:trPr>
        <w:tc>
          <w:p>
            <w:r>
              <w:t xml:space="preserve">SV (Schedule Variance)</w:t>
            </w:r>
          </w:p>
        </w:tc>
        <w:tc>
          <w:p>
            <w:r>
              <w:t xml:space="preserve">EUR −11,200</w:t>
            </w:r>
          </w:p>
        </w:tc>
        <w:tc>
          <w:p>
            <w:r>
              <w:t xml:space="preserve">EV − PV</w:t>
            </w:r>
          </w:p>
        </w:tc>
        <w:tc>
          <w:p>
            <w:r>
              <w:t xml:space="preserve">Computed</w:t>
            </w:r>
          </w:p>
        </w:tc>
      </w:tr>
      <w:tr>
        <w:trPr>
          <w:tblHeader w:val="false"/>
        </w:trPr>
        <w:tc>
          <w:tcPr>
            <w:shd w:fill="F5F5F5" w:val="clear"/>
          </w:tcPr>
          <w:p>
            <w:r>
              <w:t xml:space="preserve">CV (Cost Variance)</w:t>
            </w:r>
          </w:p>
        </w:tc>
        <w:tc>
          <w:tcPr>
            <w:shd w:fill="F5F5F5" w:val="clear"/>
          </w:tcPr>
          <w:p>
            <w:r>
              <w:t xml:space="preserve">EUR −2,350,950</w:t>
            </w:r>
          </w:p>
        </w:tc>
        <w:tc>
          <w:tcPr>
            <w:shd w:fill="F5F5F5" w:val="clear"/>
          </w:tcPr>
          <w:p>
            <w:r>
              <w:t xml:space="preserve">EV − AC</w:t>
            </w:r>
          </w:p>
        </w:tc>
        <w:tc>
          <w:tcPr>
            <w:shd w:fill="F5F5F5" w:val="clear"/>
          </w:tcPr>
          <w:p>
            <w:r>
              <w:t xml:space="preserve">Computed</w:t>
            </w:r>
          </w:p>
        </w:tc>
      </w:tr>
      <w:tr>
        <w:trPr>
          <w:tblHeader w:val="false"/>
        </w:trPr>
        <w:tc>
          <w:p>
            <w:r>
              <w:rPr>
                <w:b/>
                <w:bCs/>
              </w:rPr>
              <w:t xml:space="preserve">SPI</w:t>
            </w:r>
          </w:p>
        </w:tc>
        <w:tc>
          <w:p>
            <w:r>
              <w:rPr>
                <w:b/>
                <w:bCs/>
              </w:rPr>
              <w:t xml:space="preserve">0.998</w:t>
            </w:r>
          </w:p>
        </w:tc>
        <w:tc>
          <w:p>
            <w:r>
              <w:t xml:space="preserve">EV / PV</w:t>
            </w:r>
          </w:p>
        </w:tc>
        <w:tc>
          <w:p>
            <w:r>
              <w:t xml:space="preserve">Computed</w:t>
            </w:r>
          </w:p>
        </w:tc>
      </w:tr>
      <w:tr>
        <w:trPr>
          <w:tblHeader w:val="false"/>
        </w:trPr>
        <w:tc>
          <w:tcPr>
            <w:shd w:fill="F5F5F5" w:val="clear"/>
          </w:tcPr>
          <w:p>
            <w:r>
              <w:rPr>
                <w:b/>
                <w:bCs/>
              </w:rPr>
              <w:t xml:space="preserve">CPI</w:t>
            </w:r>
          </w:p>
        </w:tc>
        <w:tc>
          <w:tcPr>
            <w:shd w:fill="F5F5F5" w:val="clear"/>
          </w:tcPr>
          <w:p>
            <w:r>
              <w:rPr>
                <w:b/>
                <w:bCs/>
              </w:rPr>
              <w:t xml:space="preserve">0.697</w:t>
            </w:r>
          </w:p>
        </w:tc>
        <w:tc>
          <w:tcPr>
            <w:shd w:fill="F5F5F5" w:val="clear"/>
          </w:tcPr>
          <w:p>
            <w:r>
              <w:t xml:space="preserve">EV / AC</w:t>
            </w:r>
          </w:p>
        </w:tc>
        <w:tc>
          <w:tcPr>
            <w:shd w:fill="F5F5F5" w:val="clear"/>
          </w:tcPr>
          <w:p>
            <w:r>
              <w:t xml:space="preserve">Computed</w:t>
            </w:r>
          </w:p>
        </w:tc>
      </w:tr>
      <w:tr>
        <w:trPr>
          <w:tblHeader w:val="false"/>
        </w:trPr>
        <w:tc>
          <w:p>
            <w:r>
              <w:t xml:space="preserve">EAC (BAC / CPI)</w:t>
            </w:r>
          </w:p>
        </w:tc>
        <w:tc>
          <w:p>
            <w:r>
              <w:t xml:space="preserve">EUR 11,970,329</w:t>
            </w:r>
          </w:p>
        </w:tc>
        <w:tc>
          <w:p>
            <w:r>
              <w:t xml:space="preserve">Formal CPI-driven</w:t>
            </w:r>
          </w:p>
        </w:tc>
        <w:tc>
          <w:p>
            <w:r>
              <w:t xml:space="preserve">Computed</w:t>
            </w:r>
          </w:p>
        </w:tc>
      </w:tr>
      <w:tr>
        <w:trPr>
          <w:tblHeader w:val="false"/>
        </w:trPr>
        <w:tc>
          <w:tcPr>
            <w:shd w:fill="F5F5F5" w:val="clear"/>
          </w:tcPr>
          <w:p>
            <w:r>
              <w:t xml:space="preserve">VAC</w:t>
            </w:r>
          </w:p>
        </w:tc>
        <w:tc>
          <w:tcPr>
            <w:shd w:fill="F5F5F5" w:val="clear"/>
          </w:tcPr>
          <w:p>
            <w:r>
              <w:t xml:space="preserve">EUR −3,627,529</w:t>
            </w:r>
          </w:p>
        </w:tc>
        <w:tc>
          <w:tcPr>
            <w:shd w:fill="F5F5F5" w:val="clear"/>
          </w:tcPr>
          <w:p>
            <w:r>
              <w:t xml:space="preserve">BAC − EAC</w:t>
            </w:r>
          </w:p>
        </w:tc>
        <w:tc>
          <w:tcPr>
            <w:shd w:fill="F5F5F5" w:val="clear"/>
          </w:tcPr>
          <w:p>
            <w:r>
              <w:t xml:space="preserve">Computed</w:t>
            </w:r>
          </w:p>
        </w:tc>
      </w:tr>
      <w:tr>
        <w:trPr>
          <w:tblHeader w:val="false"/>
        </w:trPr>
        <w:tc>
          <w:p>
            <w:r>
              <w:t xml:space="preserve">TCPI</w:t>
            </w:r>
          </w:p>
        </w:tc>
        <w:tc>
          <w:p>
            <w:r>
              <w:t xml:space="preserve">5.019</w:t>
            </w:r>
          </w:p>
        </w:tc>
        <w:tc>
          <w:p>
            <w:r>
              <w:t xml:space="preserve">(BAC − EV) / (BAC − AC)</w:t>
            </w:r>
          </w:p>
        </w:tc>
        <w:tc>
          <w:p>
            <w:r>
              <w:t xml:space="preserve">Computed</w:t>
            </w:r>
          </w:p>
        </w:tc>
      </w:tr>
    </w:tbl>
    <w:p/>
    <w:p>
      <w:pPr>
        <w:pStyle w:val="Heading1"/>
        <w:pBdr>
          <w:bottom w:val="single" w:color="1F6FB2" w:sz="6"/>
        </w:pBdr>
        <w:spacing w:after="120" w:before="240"/>
      </w:pPr>
      <w:r>
        <w:rPr>
          <w:b/>
          <w:bCs/>
          <w:color w:val="0F2E4C"/>
        </w:rPr>
        <w:t xml:space="preserve">— 6.2 Full BAC basis (comparable to P05/P06)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Metric</w:t>
            </w:r>
          </w:p>
        </w:tc>
        <w:tc>
          <w:tcPr>
            <w:shd w:fill="0F2E4C" w:val="clear"/>
          </w:tcPr>
          <w:p>
            <w:pPr>
              <w:jc w:val="left"/>
            </w:pPr>
            <w:r>
              <w:rPr>
                <w:b/>
                <w:bCs/>
                <w:color w:val="FFFFFF"/>
              </w:rPr>
              <w:t xml:space="preserve">Value</w:t>
            </w:r>
          </w:p>
        </w:tc>
        <w:tc>
          <w:tcPr>
            <w:shd w:fill="0F2E4C" w:val="clear"/>
          </w:tcPr>
          <w:p>
            <w:pPr>
              <w:jc w:val="left"/>
            </w:pPr>
            <w:r>
              <w:rPr>
                <w:b/>
                <w:bCs/>
                <w:color w:val="FFFFFF"/>
              </w:rPr>
              <w:t xml:space="preserve">Formula basis</w:t>
            </w:r>
          </w:p>
        </w:tc>
        <w:tc>
          <w:tcPr>
            <w:shd w:fill="0F2E4C" w:val="clear"/>
          </w:tcPr>
          <w:p>
            <w:pPr>
              <w:jc w:val="left"/>
            </w:pPr>
            <w:r>
              <w:rPr>
                <w:b/>
                <w:bCs/>
                <w:color w:val="FFFFFF"/>
              </w:rPr>
              <w:t xml:space="preserve">Source</w:t>
            </w:r>
          </w:p>
        </w:tc>
      </w:tr>
      <w:tr>
        <w:trPr>
          <w:tblHeader w:val="false"/>
        </w:trPr>
        <w:tc>
          <w:p>
            <w:r>
              <w:t xml:space="preserve">BAC (full contract)</w:t>
            </w:r>
          </w:p>
        </w:tc>
        <w:tc>
          <w:p>
            <w:r>
              <w:rPr>
                <w:b/>
                <w:bCs/>
              </w:rPr>
              <w:t xml:space="preserve">EUR 92,400,000</w:t>
            </w:r>
          </w:p>
        </w:tc>
        <w:tc>
          <w:p>
            <w:r>
              <w:t xml:space="preserve">PDC-BOQ-001 Rev A</w:t>
            </w:r>
          </w:p>
        </w:tc>
        <w:tc>
          <w:p>
            <w:r>
              <w:t xml:space="preserve">P05/P06 workbooks</w:t>
            </w:r>
          </w:p>
        </w:tc>
      </w:tr>
      <w:tr>
        <w:trPr>
          <w:tblHeader w:val="false"/>
        </w:trPr>
        <w:tc>
          <w:tcPr>
            <w:shd w:fill="F5F5F5" w:val="clear"/>
          </w:tcPr>
          <w:p>
            <w:r>
              <w:t xml:space="preserve">PV to date</w:t>
            </w:r>
          </w:p>
        </w:tc>
        <w:tc>
          <w:tcPr>
            <w:shd w:fill="F5F5F5" w:val="clear"/>
          </w:tcPr>
          <w:p>
            <w:r>
              <w:rPr>
                <w:b/>
                <w:bCs/>
              </w:rPr>
              <w:t xml:space="preserve">EUR 6,861,932</w:t>
            </w:r>
          </w:p>
        </w:tc>
        <w:tc>
          <w:tcPr>
            <w:shd w:fill="F5F5F5" w:val="clear"/>
          </w:tcPr>
          <w:p>
            <w:r>
              <w:t xml:space="preserve">P06 PV + 1 month on baseline profile</w:t>
            </w:r>
          </w:p>
        </w:tc>
        <w:tc>
          <w:tcPr>
            <w:shd w:fill="F5F5F5" w:val="clear"/>
          </w:tcPr>
          <w:p>
            <w:r>
              <w:t xml:space="preserve">P05/P06 workbooks + S-curve (derived)</w:t>
            </w:r>
          </w:p>
        </w:tc>
      </w:tr>
      <w:tr>
        <w:trPr>
          <w:tblHeader w:val="false"/>
        </w:trPr>
        <w:tc>
          <w:p>
            <w:r>
              <w:t xml:space="preserve">EV to date</w:t>
            </w:r>
          </w:p>
        </w:tc>
        <w:tc>
          <w:p>
            <w:r>
              <w:rPr>
                <w:b/>
                <w:bCs/>
              </w:rPr>
              <w:t xml:space="preserve">EUR 7,000,000</w:t>
            </w:r>
          </w:p>
        </w:tc>
        <w:tc>
          <w:p>
            <w:r>
              <w:t xml:space="preserve">P06 EV + 1 month on physical progress</w:t>
            </w:r>
          </w:p>
        </w:tc>
        <w:tc>
          <w:p>
            <w:r>
              <w:t xml:space="preserve">P06 workbook + P07 progress (derived, conservative)</w:t>
            </w:r>
          </w:p>
        </w:tc>
      </w:tr>
      <w:tr>
        <w:trPr>
          <w:tblHeader w:val="false"/>
        </w:trPr>
        <w:tc>
          <w:tcPr>
            <w:shd w:fill="F5F5F5" w:val="clear"/>
          </w:tcPr>
          <w:p>
            <w:r>
              <w:t xml:space="preserve">AC to date (cum)</w:t>
            </w:r>
          </w:p>
        </w:tc>
        <w:tc>
          <w:tcPr>
            <w:shd w:fill="F5F5F5" w:val="clear"/>
          </w:tcPr>
          <w:p>
            <w:r>
              <w:rPr>
                <w:b/>
                <w:bCs/>
              </w:rPr>
              <w:t xml:space="preserve">EUR 7,757,800</w:t>
            </w:r>
          </w:p>
        </w:tc>
        <w:tc>
          <w:tcPr>
            <w:shd w:fill="F5F5F5" w:val="clear"/>
          </w:tcPr>
          <w:p>
            <w:r>
              <w:t xml:space="preserve">Per PDC-CVR-P07</w:t>
            </w:r>
          </w:p>
        </w:tc>
        <w:tc>
          <w:tcPr>
            <w:shd w:fill="F5F5F5" w:val="clear"/>
          </w:tcPr>
          <w:p>
            <w:r>
              <w:t xml:space="preserve">PDC-CVR-P07</w:t>
            </w:r>
          </w:p>
        </w:tc>
      </w:tr>
      <w:tr>
        <w:trPr>
          <w:tblHeader w:val="false"/>
        </w:trPr>
        <w:tc>
          <w:p>
            <w:r>
              <w:t xml:space="preserve">SV (Schedule Variance)</w:t>
            </w:r>
          </w:p>
        </w:tc>
        <w:tc>
          <w:p>
            <w:r>
              <w:t xml:space="preserve">EUR 138,068</w:t>
            </w:r>
          </w:p>
        </w:tc>
        <w:tc>
          <w:p>
            <w:r>
              <w:t xml:space="preserve">EV − PV</w:t>
            </w:r>
          </w:p>
        </w:tc>
        <w:tc>
          <w:p>
            <w:r>
              <w:t xml:space="preserve">Computed</w:t>
            </w:r>
          </w:p>
        </w:tc>
      </w:tr>
      <w:tr>
        <w:trPr>
          <w:tblHeader w:val="false"/>
        </w:trPr>
        <w:tc>
          <w:tcPr>
            <w:shd w:fill="F5F5F5" w:val="clear"/>
          </w:tcPr>
          <w:p>
            <w:r>
              <w:t xml:space="preserve">CV (Cost Variance)</w:t>
            </w:r>
          </w:p>
        </w:tc>
        <w:tc>
          <w:tcPr>
            <w:shd w:fill="F5F5F5" w:val="clear"/>
          </w:tcPr>
          <w:p>
            <w:r>
              <w:t xml:space="preserve">EUR −757,800</w:t>
            </w:r>
          </w:p>
        </w:tc>
        <w:tc>
          <w:tcPr>
            <w:shd w:fill="F5F5F5" w:val="clear"/>
          </w:tcPr>
          <w:p>
            <w:r>
              <w:t xml:space="preserve">EV − AC</w:t>
            </w:r>
          </w:p>
        </w:tc>
        <w:tc>
          <w:tcPr>
            <w:shd w:fill="F5F5F5" w:val="clear"/>
          </w:tcPr>
          <w:p>
            <w:r>
              <w:t xml:space="preserve">Computed</w:t>
            </w:r>
          </w:p>
        </w:tc>
      </w:tr>
      <w:tr>
        <w:trPr>
          <w:tblHeader w:val="false"/>
        </w:trPr>
        <w:tc>
          <w:p>
            <w:r>
              <w:rPr>
                <w:b/>
                <w:bCs/>
              </w:rPr>
              <w:t xml:space="preserve">SPI</w:t>
            </w:r>
          </w:p>
        </w:tc>
        <w:tc>
          <w:p>
            <w:r>
              <w:rPr>
                <w:b/>
                <w:bCs/>
              </w:rPr>
              <w:t xml:space="preserve">1.020</w:t>
            </w:r>
          </w:p>
        </w:tc>
        <w:tc>
          <w:p>
            <w:r>
              <w:t xml:space="preserve">EV / PV</w:t>
            </w:r>
          </w:p>
        </w:tc>
        <w:tc>
          <w:p>
            <w:r>
              <w:t xml:space="preserve">Computed</w:t>
            </w:r>
          </w:p>
        </w:tc>
      </w:tr>
      <w:tr>
        <w:trPr>
          <w:tblHeader w:val="false"/>
        </w:trPr>
        <w:tc>
          <w:tcPr>
            <w:shd w:fill="F5F5F5" w:val="clear"/>
          </w:tcPr>
          <w:p>
            <w:r>
              <w:rPr>
                <w:b/>
                <w:bCs/>
              </w:rPr>
              <w:t xml:space="preserve">CPI</w:t>
            </w:r>
          </w:p>
        </w:tc>
        <w:tc>
          <w:tcPr>
            <w:shd w:fill="F5F5F5" w:val="clear"/>
          </w:tcPr>
          <w:p>
            <w:r>
              <w:rPr>
                <w:b/>
                <w:bCs/>
              </w:rPr>
              <w:t xml:space="preserve">0.902</w:t>
            </w:r>
          </w:p>
        </w:tc>
        <w:tc>
          <w:tcPr>
            <w:shd w:fill="F5F5F5" w:val="clear"/>
          </w:tcPr>
          <w:p>
            <w:r>
              <w:t xml:space="preserve">EV / AC</w:t>
            </w:r>
          </w:p>
        </w:tc>
        <w:tc>
          <w:tcPr>
            <w:shd w:fill="F5F5F5" w:val="clear"/>
          </w:tcPr>
          <w:p>
            <w:r>
              <w:t xml:space="preserve">Computed</w:t>
            </w:r>
          </w:p>
        </w:tc>
      </w:tr>
      <w:tr>
        <w:trPr>
          <w:tblHeader w:val="false"/>
        </w:trPr>
        <w:tc>
          <w:p>
            <w:r>
              <w:t xml:space="preserve">EAC (BAC / CPI)</w:t>
            </w:r>
          </w:p>
        </w:tc>
        <w:tc>
          <w:p>
            <w:r>
              <w:t xml:space="preserve">EUR 102,402,960</w:t>
            </w:r>
          </w:p>
        </w:tc>
        <w:tc>
          <w:p>
            <w:r>
              <w:t xml:space="preserve">Formal CPI-driven</w:t>
            </w:r>
          </w:p>
        </w:tc>
        <w:tc>
          <w:p>
            <w:r>
              <w:t xml:space="preserve">Computed</w:t>
            </w:r>
          </w:p>
        </w:tc>
      </w:tr>
      <w:tr>
        <w:trPr>
          <w:tblHeader w:val="false"/>
        </w:trPr>
        <w:tc>
          <w:tcPr>
            <w:shd w:fill="F5F5F5" w:val="clear"/>
          </w:tcPr>
          <w:p>
            <w:r>
              <w:t xml:space="preserve">VAC</w:t>
            </w:r>
          </w:p>
        </w:tc>
        <w:tc>
          <w:tcPr>
            <w:shd w:fill="F5F5F5" w:val="clear"/>
          </w:tcPr>
          <w:p>
            <w:r>
              <w:t xml:space="preserve">EUR −10,002,960</w:t>
            </w:r>
          </w:p>
        </w:tc>
        <w:tc>
          <w:tcPr>
            <w:shd w:fill="F5F5F5" w:val="clear"/>
          </w:tcPr>
          <w:p>
            <w:r>
              <w:t xml:space="preserve">BAC − EAC</w:t>
            </w:r>
          </w:p>
        </w:tc>
        <w:tc>
          <w:tcPr>
            <w:shd w:fill="F5F5F5" w:val="clear"/>
          </w:tcPr>
          <w:p>
            <w:r>
              <w:t xml:space="preserve">Computed</w:t>
            </w:r>
          </w:p>
        </w:tc>
      </w:tr>
      <w:tr>
        <w:trPr>
          <w:tblHeader w:val="false"/>
        </w:trPr>
        <w:tc>
          <w:p>
            <w:r>
              <w:t xml:space="preserve">TCPI</w:t>
            </w:r>
          </w:p>
        </w:tc>
        <w:tc>
          <w:p>
            <w:r>
              <w:t xml:space="preserve">1.011</w:t>
            </w:r>
          </w:p>
        </w:tc>
        <w:tc>
          <w:p>
            <w:r>
              <w:t xml:space="preserve">(BAC − EV) / (BAC − AC)</w:t>
            </w:r>
          </w:p>
        </w:tc>
        <w:tc>
          <w:p>
            <w:r>
              <w:t xml:space="preserve">Computed</w:t>
            </w:r>
          </w:p>
        </w:tc>
      </w:tr>
    </w:tbl>
    <w:p/>
    <w:p>
      <w:pPr>
        <w:pStyle w:val="Heading1"/>
        <w:pBdr>
          <w:bottom w:val="single" w:color="1F6FB2" w:sz="6"/>
        </w:pBdr>
        <w:spacing w:after="120" w:before="240"/>
      </w:pPr>
      <w:r>
        <w:rPr>
          <w:b/>
          <w:bCs/>
          <w:color w:val="0F2E4C"/>
        </w:rPr>
        <w:t xml:space="preserve">— 6.3 Cost variance drivers (per PDC-CVR-P07)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Cost code</w:t>
            </w:r>
          </w:p>
        </w:tc>
        <w:tc>
          <w:tcPr>
            <w:shd w:fill="0F2E4C" w:val="clear"/>
          </w:tcPr>
          <w:p>
            <w:pPr>
              <w:jc w:val="left"/>
            </w:pPr>
            <w:r>
              <w:rPr>
                <w:b/>
                <w:bCs/>
                <w:color w:val="FFFFFF"/>
              </w:rPr>
              <w:t xml:space="preserve">Description</w:t>
            </w:r>
          </w:p>
        </w:tc>
        <w:tc>
          <w:tcPr>
            <w:shd w:fill="0F2E4C" w:val="clear"/>
          </w:tcPr>
          <w:p>
            <w:pPr>
              <w:jc w:val="left"/>
            </w:pPr>
            <w:r>
              <w:rPr>
                <w:b/>
                <w:bCs/>
                <w:color w:val="FFFFFF"/>
              </w:rPr>
              <w:t xml:space="preserve">Cum AC 30.09.2026</w:t>
            </w:r>
          </w:p>
        </w:tc>
        <w:tc>
          <w:tcPr>
            <w:shd w:fill="0F2E4C" w:val="clear"/>
          </w:tcPr>
          <w:p>
            <w:pPr>
              <w:jc w:val="left"/>
            </w:pPr>
            <w:r>
              <w:rPr>
                <w:b/>
                <w:bCs/>
                <w:color w:val="FFFFFF"/>
              </w:rPr>
              <w:t xml:space="preserve">Comment</w:t>
            </w:r>
          </w:p>
        </w:tc>
      </w:tr>
      <w:tr>
        <w:trPr>
          <w:tblHeader w:val="false"/>
        </w:trPr>
        <w:tc>
          <w:p>
            <w:r>
              <w:t xml:space="preserve">C-1100</w:t>
            </w:r>
          </w:p>
        </w:tc>
        <w:tc>
          <w:p>
            <w:r>
              <w:t xml:space="preserve">TP-001 Earthworks, blasting and piling</w:t>
            </w:r>
          </w:p>
        </w:tc>
        <w:tc>
          <w:p>
            <w:r>
              <w:t xml:space="preserve">EUR 2,779,300</w:t>
            </w:r>
          </w:p>
        </w:tc>
        <w:tc>
          <w:p>
            <w:r>
              <w:rPr>
                <w:b/>
                <w:bCs/>
              </w:rPr>
              <w:t xml:space="preserve">Kallio — main cost driver</w:t>
            </w:r>
            <w:r>
              <w:t xml:space="preserve">; +33% over P06 cumulative</w:t>
            </w:r>
          </w:p>
        </w:tc>
      </w:tr>
      <w:tr>
        <w:trPr>
          <w:tblHeader w:val="false"/>
        </w:trPr>
        <w:tc>
          <w:tcPr>
            <w:shd w:fill="F5F5F5" w:val="clear"/>
          </w:tcPr>
          <w:p>
            <w:r>
              <w:t xml:space="preserve">C-1200</w:t>
            </w:r>
          </w:p>
        </w:tc>
        <w:tc>
          <w:tcPr>
            <w:shd w:fill="F5F5F5" w:val="clear"/>
          </w:tcPr>
          <w:p>
            <w:r>
              <w:t xml:space="preserve">TP-001 Substructure — caps, beams, waterproofing</w:t>
            </w:r>
          </w:p>
        </w:tc>
        <w:tc>
          <w:tcPr>
            <w:shd w:fill="F5F5F5" w:val="clear"/>
          </w:tcPr>
          <w:p>
            <w:r>
              <w:t xml:space="preserve">EUR 1,016,200</w:t>
            </w:r>
          </w:p>
        </w:tc>
        <w:tc>
          <w:tcPr>
            <w:shd w:fill="F5F5F5" w:val="clear"/>
          </w:tcPr>
          <w:p>
            <w:r>
              <w:rPr>
                <w:b/>
                <w:bCs/>
              </w:rPr>
              <w:t xml:space="preserve">Kallio — pouring window open</w:t>
            </w:r>
            <w:r>
              <w:t xml:space="preserve">; cost growing fast</w:t>
            </w:r>
          </w:p>
        </w:tc>
      </w:tr>
      <w:tr>
        <w:trPr>
          <w:tblHeader w:val="false"/>
        </w:trPr>
        <w:tc>
          <w:p>
            <w:r>
              <w:t xml:space="preserve">C-1500</w:t>
            </w:r>
          </w:p>
        </w:tc>
        <w:tc>
          <w:p>
            <w:r>
              <w:t xml:space="preserve">TP-008 External works and security</w:t>
            </w:r>
          </w:p>
        </w:tc>
        <w:tc>
          <w:p>
            <w:r>
              <w:t xml:space="preserve">EUR 1,037,000</w:t>
            </w:r>
          </w:p>
        </w:tc>
        <w:tc>
          <w:p>
            <w:r>
              <w:t xml:space="preserve">Lehtinen — perimeter fence 100% (Act 202 / 14.09)</w:t>
            </w:r>
          </w:p>
        </w:tc>
      </w:tr>
      <w:tr>
        <w:trPr>
          <w:tblHeader w:val="false"/>
        </w:trPr>
        <w:tc>
          <w:tcPr>
            <w:shd w:fill="F5F5F5" w:val="clear"/>
          </w:tcPr>
          <w:p>
            <w:r>
              <w:t xml:space="preserve">C-1300</w:t>
            </w:r>
          </w:p>
        </w:tc>
        <w:tc>
          <w:tcPr>
            <w:shd w:fill="F5F5F5" w:val="clear"/>
          </w:tcPr>
          <w:p>
            <w:r>
              <w:t xml:space="preserve">TP-005 Mechanical — cooling spine</w:t>
            </w:r>
          </w:p>
        </w:tc>
        <w:tc>
          <w:tcPr>
            <w:shd w:fill="F5F5F5" w:val="clear"/>
          </w:tcPr>
          <w:p>
            <w:r>
              <w:t xml:space="preserve">EUR 994,900</w:t>
            </w:r>
          </w:p>
        </w:tc>
        <w:tc>
          <w:tcPr>
            <w:shd w:fill="F5F5F5" w:val="clear"/>
          </w:tcPr>
          <w:p>
            <w:r>
              <w:t xml:space="preserve">Ilmatek — labour driven, on programme</w:t>
            </w:r>
          </w:p>
        </w:tc>
      </w:tr>
      <w:tr>
        <w:trPr>
          <w:tblHeader w:val="false"/>
        </w:trPr>
        <w:tc>
          <w:p>
            <w:r>
              <w:t xml:space="preserve">C-1000</w:t>
            </w:r>
          </w:p>
        </w:tc>
        <w:tc>
          <w:p>
            <w:r>
              <w:t xml:space="preserve">Preliminaries and site establishment</w:t>
            </w:r>
          </w:p>
        </w:tc>
        <w:tc>
          <w:p>
            <w:r>
              <w:t xml:space="preserve">EUR 960,900</w:t>
            </w:r>
          </w:p>
        </w:tc>
        <w:tc>
          <w:p>
            <w:r>
              <w:t xml:space="preserve">On profile per preliminaries schedule</w:t>
            </w:r>
          </w:p>
        </w:tc>
      </w:tr>
      <w:tr>
        <w:trPr>
          <w:tblHeader w:val="false"/>
        </w:trPr>
        <w:tc>
          <w:tcPr>
            <w:shd w:fill="F5F5F5" w:val="clear"/>
          </w:tcPr>
          <w:p>
            <w:r>
              <w:t xml:space="preserve">C-1900</w:t>
            </w:r>
          </w:p>
        </w:tc>
        <w:tc>
          <w:tcPr>
            <w:shd w:fill="F5F5F5" w:val="clear"/>
          </w:tcPr>
          <w:p>
            <w:r>
              <w:t xml:space="preserve">Design, statutory and professional fees</w:t>
            </w:r>
          </w:p>
        </w:tc>
        <w:tc>
          <w:tcPr>
            <w:shd w:fill="F5F5F5" w:val="clear"/>
          </w:tcPr>
          <w:p>
            <w:r>
              <w:t xml:space="preserve">EUR 442,600</w:t>
            </w:r>
          </w:p>
        </w:tc>
        <w:tc>
          <w:tcPr>
            <w:shd w:fill="F5F5F5" w:val="clear"/>
          </w:tcPr>
          <w:p>
            <w:r>
              <w:t xml:space="preserve">On profile</w:t>
            </w:r>
          </w:p>
        </w:tc>
      </w:tr>
      <w:tr>
        <w:trPr>
          <w:tblHeader w:val="false"/>
        </w:trPr>
        <w:tc>
          <w:p>
            <w:r>
              <w:t xml:space="preserve">C-1400</w:t>
            </w:r>
          </w:p>
        </w:tc>
        <w:tc>
          <w:p>
            <w:r>
              <w:t xml:space="preserve">TP-006 Electrical — HV enabling</w:t>
            </w:r>
          </w:p>
        </w:tc>
        <w:tc>
          <w:p>
            <w:r>
              <w:t xml:space="preserve">EUR 374,100</w:t>
            </w:r>
          </w:p>
        </w:tc>
        <w:tc>
          <w:p>
            <w:r>
              <w:t xml:space="preserve">Voima — on programme</w:t>
            </w:r>
          </w:p>
        </w:tc>
      </w:tr>
      <w:tr>
        <w:trPr>
          <w:tblHeader w:val="false"/>
        </w:trPr>
        <w:tc>
          <w:tcPr>
            <w:shd w:fill="F5F5F5" w:val="clear"/>
          </w:tcPr>
          <w:p>
            <w:r>
              <w:t xml:space="preserve">C-1140</w:t>
            </w:r>
          </w:p>
        </w:tc>
        <w:tc>
          <w:tcPr>
            <w:shd w:fill="F5F5F5" w:val="clear"/>
          </w:tcPr>
          <w:p>
            <w:r>
              <w:t xml:space="preserve">TP-001 NW zone — instructed works (EI-004)</w:t>
            </w:r>
          </w:p>
        </w:tc>
        <w:tc>
          <w:tcPr>
            <w:shd w:fill="F5F5F5" w:val="clear"/>
          </w:tcPr>
          <w:p>
            <w:r>
              <w:t xml:space="preserve">EUR 152,800</w:t>
            </w:r>
          </w:p>
        </w:tc>
        <w:tc>
          <w:tcPr>
            <w:shd w:fill="F5F5F5" w:val="clear"/>
          </w:tcPr>
          <w:p>
            <w:r>
              <w:t xml:space="preserve">Reconcile with Kallio EUR 214,600 (A07-02)</w:t>
            </w:r>
          </w:p>
        </w:tc>
      </w:tr>
      <w:tr>
        <w:trPr>
          <w:tblHeader w:val="false"/>
        </w:trPr>
        <w:tc>
          <w:p>
            <w:r>
              <w:rPr>
                <w:b/>
                <w:bCs/>
              </w:rPr>
              <w:t xml:space="preserve">TOTAL</w:t>
            </w:r>
          </w:p>
        </w:tc>
        <w:tc>
          <w:p>
            <w:r>
              <w:t xml:space="preserve"/>
            </w:r>
          </w:p>
        </w:tc>
        <w:tc>
          <w:p>
            <w:r>
              <w:rPr>
                <w:b/>
                <w:bCs/>
              </w:rPr>
              <w:t xml:space="preserve">EUR 7,757,800</w:t>
            </w:r>
          </w:p>
        </w:tc>
        <w:tc>
          <w:p>
            <w:r>
              <w:t xml:space="preserve"/>
            </w:r>
          </w:p>
        </w:tc>
      </w:tr>
    </w:tbl>
    <w:p/>
    <w:p>
      <w:pPr>
        <w:pStyle w:val="Heading1"/>
        <w:pBdr>
          <w:bottom w:val="single" w:color="1F6FB2" w:sz="6"/>
        </w:pBdr>
        <w:spacing w:after="120" w:before="240"/>
      </w:pPr>
      <w:r>
        <w:rPr>
          <w:b/>
          <w:bCs/>
          <w:color w:val="0F2E4C"/>
        </w:rPr>
        <w:t xml:space="preserve">— 6.4 Period-on-period (full BAC EUR 92.4M basis — from reported workbooks)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E4C" w:val="clear"/>
          </w:tcPr>
          <w:p>
            <w:pPr>
              <w:jc w:val="left"/>
            </w:pPr>
            <w:r>
              <w:rPr>
                <w:b/>
                <w:bCs/>
                <w:color w:val="FFFFFF"/>
              </w:rPr>
              <w:t xml:space="preserve">Metric</w:t>
            </w:r>
          </w:p>
        </w:tc>
        <w:tc>
          <w:tcPr>
            <w:shd w:fill="0F2E4C" w:val="clear"/>
          </w:tcPr>
          <w:p>
            <w:pPr>
              <w:jc w:val="left"/>
            </w:pPr>
            <w:r>
              <w:rPr>
                <w:b/>
                <w:bCs/>
                <w:color w:val="FFFFFF"/>
              </w:rPr>
              <w:t xml:space="preserve">P05 (Jul 2026)</w:t>
            </w:r>
          </w:p>
        </w:tc>
        <w:tc>
          <w:tcPr>
            <w:shd w:fill="0F2E4C" w:val="clear"/>
          </w:tcPr>
          <w:p>
            <w:pPr>
              <w:jc w:val="left"/>
            </w:pPr>
            <w:r>
              <w:rPr>
                <w:b/>
                <w:bCs/>
                <w:color w:val="FFFFFF"/>
              </w:rPr>
              <w:t xml:space="preserve">P06 (Aug 2026)</w:t>
            </w:r>
          </w:p>
        </w:tc>
        <w:tc>
          <w:tcPr>
            <w:shd w:fill="0F2E4C" w:val="clear"/>
          </w:tcPr>
          <w:p>
            <w:pPr>
              <w:jc w:val="left"/>
            </w:pPr>
            <w:r>
              <w:rPr>
                <w:b/>
                <w:bCs/>
                <w:color w:val="FFFFFF"/>
              </w:rPr>
              <w:t xml:space="preserve">P07 (Sep 2026)</w:t>
            </w:r>
          </w:p>
        </w:tc>
        <w:tc>
          <w:tcPr>
            <w:shd w:fill="0F2E4C" w:val="clear"/>
          </w:tcPr>
          <w:p>
            <w:pPr>
              <w:jc w:val="left"/>
            </w:pPr>
            <w:r>
              <w:rPr>
                <w:b/>
                <w:bCs/>
                <w:color w:val="FFFFFF"/>
              </w:rPr>
              <w:t xml:space="preserve">Direction</w:t>
            </w:r>
          </w:p>
        </w:tc>
      </w:tr>
      <w:tr>
        <w:trPr>
          <w:tblHeader w:val="false"/>
        </w:trPr>
        <w:tc>
          <w:p>
            <w:r>
              <w:t xml:space="preserve">SPI (full BAC) — reported</w:t>
            </w:r>
          </w:p>
        </w:tc>
        <w:tc>
          <w:p>
            <w:r>
              <w:t xml:space="preserve">0.98</w:t>
            </w:r>
          </w:p>
        </w:tc>
        <w:tc>
          <w:p>
            <w:r>
              <w:t xml:space="preserve">1.03 (indicative)</w:t>
            </w:r>
          </w:p>
        </w:tc>
        <w:tc>
          <w:p>
            <w:r>
              <w:rPr>
                <w:b/>
                <w:bCs/>
              </w:rPr>
              <w:t xml:space="preserve">1.020</w:t>
            </w:r>
          </w:p>
        </w:tc>
        <w:tc>
          <w:p>
            <w:r>
              <w:t xml:space="preserve">Improvement vs P05</w:t>
            </w:r>
          </w:p>
        </w:tc>
      </w:tr>
      <w:tr>
        <w:trPr>
          <w:tblHeader w:val="false"/>
        </w:trPr>
        <w:tc>
          <w:tcPr>
            <w:shd w:fill="F5F5F5" w:val="clear"/>
          </w:tcPr>
          <w:p>
            <w:r>
              <w:t xml:space="preserve">SPI (activity subset)</w:t>
            </w:r>
          </w:p>
        </w:tc>
        <w:tc>
          <w:tcPr>
            <w:shd w:fill="F5F5F5" w:val="clear"/>
          </w:tcPr>
          <w:p>
            <w:r>
              <w:t xml:space="preserve">—</w:t>
            </w:r>
          </w:p>
        </w:tc>
        <w:tc>
          <w:tcPr>
            <w:shd w:fill="F5F5F5" w:val="clear"/>
          </w:tcPr>
          <w:p>
            <w:r>
              <w:t xml:space="preserve">—</w:t>
            </w:r>
          </w:p>
        </w:tc>
        <w:tc>
          <w:tcPr>
            <w:shd w:fill="F5F5F5" w:val="clear"/>
          </w:tcPr>
          <w:p>
            <w:r>
              <w:rPr>
                <w:b/>
                <w:bCs/>
              </w:rPr>
              <w:t xml:space="preserve">0.998</w:t>
            </w:r>
          </w:p>
        </w:tc>
        <w:tc>
          <w:tcPr>
            <w:shd w:fill="F5F5F5" w:val="clear"/>
          </w:tcPr>
          <w:p>
            <w:r>
              <w:t xml:space="preserve">Activity subset not reported in P05/P06</w:t>
            </w:r>
          </w:p>
        </w:tc>
      </w:tr>
      <w:tr>
        <w:trPr>
          <w:tblHeader w:val="false"/>
        </w:trPr>
        <w:tc>
          <w:p>
            <w:r>
              <w:t xml:space="preserve">CPI (full BAC) — reported</w:t>
            </w:r>
          </w:p>
        </w:tc>
        <w:tc>
          <w:p>
            <w:r>
              <w:rPr>
                <w:b/>
                <w:bCs/>
              </w:rPr>
              <w:t xml:space="preserve">0.859</w:t>
            </w:r>
          </w:p>
        </w:tc>
        <w:tc>
          <w:p>
            <w:r>
              <w:t xml:space="preserve">0.94 (indicative)</w:t>
            </w:r>
          </w:p>
        </w:tc>
        <w:tc>
          <w:p>
            <w:r>
              <w:rPr>
                <w:b/>
                <w:bCs/>
              </w:rPr>
              <w:t xml:space="preserve">0.902</w:t>
            </w:r>
          </w:p>
        </w:tc>
        <w:tc>
          <w:p>
            <w:r>
              <w:t xml:space="preserve">Recovery from P05; lag remains structural</w:t>
            </w:r>
          </w:p>
        </w:tc>
      </w:tr>
      <w:tr>
        <w:trPr>
          <w:tblHeader w:val="false"/>
        </w:trPr>
        <w:tc>
          <w:tcPr>
            <w:shd w:fill="F5F5F5" w:val="clear"/>
          </w:tcPr>
          <w:p>
            <w:r>
              <w:t xml:space="preserve">CPI (activity subset)</w:t>
            </w:r>
          </w:p>
        </w:tc>
        <w:tc>
          <w:tcPr>
            <w:shd w:fill="F5F5F5" w:val="clear"/>
          </w:tcPr>
          <w:p>
            <w:r>
              <w:t xml:space="preserve">—</w:t>
            </w:r>
          </w:p>
        </w:tc>
        <w:tc>
          <w:tcPr>
            <w:shd w:fill="F5F5F5" w:val="clear"/>
          </w:tcPr>
          <w:p>
            <w:r>
              <w:t xml:space="preserve">—</w:t>
            </w:r>
          </w:p>
        </w:tc>
        <w:tc>
          <w:tcPr>
            <w:shd w:fill="F5F5F5" w:val="clear"/>
          </w:tcPr>
          <w:p>
            <w:r>
              <w:rPr>
                <w:b/>
                <w:bCs/>
              </w:rPr>
              <w:t xml:space="preserve">0.697</w:t>
            </w:r>
          </w:p>
        </w:tc>
        <w:tc>
          <w:tcPr>
            <w:shd w:fill="F5F5F5" w:val="clear"/>
          </w:tcPr>
          <w:p>
            <w:r>
              <w:t xml:space="preserve">Kallio cost concentration</w:t>
            </w:r>
          </w:p>
        </w:tc>
      </w:tr>
      <w:tr>
        <w:trPr>
          <w:tblHeader w:val="false"/>
        </w:trPr>
        <w:tc>
          <w:p>
            <w:r>
              <w:t xml:space="preserve">EAC (formal = BAC/CPI), EUR</w:t>
            </w:r>
          </w:p>
        </w:tc>
        <w:tc>
          <w:p>
            <w:r>
              <w:rPr>
                <w:b/>
                <w:bCs/>
              </w:rPr>
              <w:t xml:space="preserve">107,514,938</w:t>
            </w:r>
          </w:p>
        </w:tc>
        <w:tc>
          <w:p>
            <w:r>
              <w:t xml:space="preserve">97,900,000 (indicative)</w:t>
            </w:r>
          </w:p>
        </w:tc>
        <w:tc>
          <w:p>
            <w:r>
              <w:rPr>
                <w:b/>
                <w:bCs/>
              </w:rPr>
              <w:t xml:space="preserve">102,402,960</w:t>
            </w:r>
          </w:p>
        </w:tc>
        <w:tc>
          <w:p>
            <w:r>
              <w:t xml:space="preserve">Deterioration P06 → P07</w:t>
            </w:r>
          </w:p>
        </w:tc>
      </w:tr>
      <w:tr>
        <w:trPr>
          <w:tblHeader w:val="false"/>
        </w:trPr>
        <w:tc>
          <w:tcPr>
            <w:shd w:fill="F5F5F5" w:val="clear"/>
          </w:tcPr>
          <w:p>
            <w:r>
              <w:t xml:space="preserve">VAC (BAC − formal EAC), EUR</w:t>
            </w:r>
          </w:p>
        </w:tc>
        <w:tc>
          <w:tcPr>
            <w:shd w:fill="F5F5F5" w:val="clear"/>
          </w:tcPr>
          <w:p>
            <w:r>
              <w:rPr>
                <w:b/>
                <w:bCs/>
              </w:rPr>
              <w:t xml:space="preserve">−15,114,938</w:t>
            </w:r>
          </w:p>
        </w:tc>
        <w:tc>
          <w:tcPr>
            <w:shd w:fill="F5F5F5" w:val="clear"/>
          </w:tcPr>
          <w:p>
            <w:r>
              <w:t xml:space="preserve">−5,500,000 (indicative)</w:t>
            </w:r>
          </w:p>
        </w:tc>
        <w:tc>
          <w:tcPr>
            <w:shd w:fill="F5F5F5" w:val="clear"/>
          </w:tcPr>
          <w:p>
            <w:r>
              <w:rPr>
                <w:b/>
                <w:bCs/>
              </w:rPr>
              <w:t xml:space="preserve">−10,002,960</w:t>
            </w:r>
          </w:p>
        </w:tc>
        <w:tc>
          <w:tcPr>
            <w:shd w:fill="F5F5F5" w:val="clear"/>
          </w:tcPr>
          <w:p>
            <w:r>
              <w:t xml:space="preserve">Deterioration P06 → P07</w:t>
            </w:r>
          </w:p>
        </w:tc>
      </w:tr>
      <w:tr>
        <w:trPr>
          <w:tblHeader w:val="false"/>
        </w:trPr>
        <w:tc>
          <w:p>
            <w:r>
              <w:t xml:space="preserve">PM manual EAC, EUR</w:t>
            </w:r>
          </w:p>
        </w:tc>
        <w:tc>
          <w:p>
            <w:r>
              <w:rPr>
                <w:b/>
                <w:bCs/>
              </w:rPr>
              <w:t xml:space="preserve">92,400,000</w:t>
            </w:r>
          </w:p>
        </w:tc>
        <w:tc>
          <w:p>
            <w:r>
              <w:t xml:space="preserve">Not reported</w:t>
            </w:r>
          </w:p>
        </w:tc>
        <w:tc>
          <w:p>
            <w:r>
              <w:t xml:space="preserve">Not reported</w:t>
            </w:r>
          </w:p>
        </w:tc>
        <w:tc>
          <w:p>
            <w:r>
              <w:t xml:space="preserve">P05 PM held at BAC</w:t>
            </w:r>
          </w:p>
        </w:tc>
      </w:tr>
      <w:tr>
        <w:trPr>
          <w:tblHeader w:val="false"/>
        </w:trPr>
        <w:tc>
          <w:tcPr>
            <w:shd w:fill="F5F5F5" w:val="clear"/>
          </w:tcPr>
          <w:p>
            <w:r>
              <w:t xml:space="preserve">TCPI to BAC</w:t>
            </w:r>
          </w:p>
        </w:tc>
        <w:tc>
          <w:tcPr>
            <w:shd w:fill="F5F5F5" w:val="clear"/>
          </w:tcPr>
          <w:p>
            <w:r>
              <w:rPr>
                <w:b/>
                <w:bCs/>
              </w:rPr>
              <w:t xml:space="preserve">0.989</w:t>
            </w:r>
          </w:p>
        </w:tc>
        <w:tc>
          <w:tcPr>
            <w:shd w:fill="F5F5F5" w:val="clear"/>
          </w:tcPr>
          <w:p>
            <w:r>
              <w:t xml:space="preserve">Not reported</w:t>
            </w:r>
          </w:p>
        </w:tc>
        <w:tc>
          <w:tcPr>
            <w:shd w:fill="F5F5F5" w:val="clear"/>
          </w:tcPr>
          <w:p>
            <w:r>
              <w:rPr>
                <w:b/>
                <w:bCs/>
              </w:rPr>
              <w:t xml:space="preserve">1.011</w:t>
            </w:r>
          </w:p>
        </w:tc>
        <w:tc>
          <w:tcPr>
            <w:shd w:fill="F5F5F5" w:val="clear"/>
          </w:tcPr>
          <w:p>
            <w:r>
              <w:t xml:space="preserve">P06 not reported</w:t>
            </w:r>
          </w:p>
        </w:tc>
      </w:tr>
      <w:tr>
        <w:trPr>
          <w:tblHeader w:val="false"/>
        </w:trPr>
        <w:tc>
          <w:p>
            <w:r>
              <w:t xml:space="preserve">SV (Schedule Variance)</w:t>
            </w:r>
          </w:p>
        </w:tc>
        <w:tc>
          <w:p>
            <w:r>
              <w:t xml:space="preserve">−65,681</w:t>
            </w:r>
          </w:p>
        </w:tc>
        <w:tc>
          <w:p>
            <w:r>
              <w:t xml:space="preserve">Not reported</w:t>
            </w:r>
          </w:p>
        </w:tc>
        <w:tc>
          <w:p>
            <w:r>
              <w:t xml:space="preserve">Derived</w:t>
            </w:r>
          </w:p>
        </w:tc>
        <w:tc>
          <w:p>
            <w:r>
              <w:t xml:space="preserve">P06/P07 not reported</w:t>
            </w:r>
          </w:p>
        </w:tc>
      </w:tr>
      <w:tr>
        <w:trPr>
          <w:tblHeader w:val="false"/>
        </w:trPr>
        <w:tc>
          <w:tcPr>
            <w:shd w:fill="F5F5F5" w:val="clear"/>
          </w:tcPr>
          <w:p>
            <w:r>
              <w:t xml:space="preserve">CV (Cost Variance)</w:t>
            </w:r>
          </w:p>
        </w:tc>
        <w:tc>
          <w:tcPr>
            <w:shd w:fill="F5F5F5" w:val="clear"/>
          </w:tcPr>
          <w:p>
            <w:r>
              <w:t xml:space="preserve">−529,413</w:t>
            </w:r>
          </w:p>
        </w:tc>
        <w:tc>
          <w:tcPr>
            <w:shd w:fill="F5F5F5" w:val="clear"/>
          </w:tcPr>
          <w:p>
            <w:r>
              <w:t xml:space="preserve">Not reported</w:t>
            </w:r>
          </w:p>
        </w:tc>
        <w:tc>
          <w:tcPr>
            <w:shd w:fill="F5F5F5" w:val="clear"/>
          </w:tcPr>
          <w:p>
            <w:r>
              <w:t xml:space="preserve">Derived</w:t>
            </w:r>
          </w:p>
        </w:tc>
        <w:tc>
          <w:tcPr>
            <w:shd w:fill="F5F5F5" w:val="clear"/>
          </w:tcPr>
          <w:p>
            <w:r>
              <w:t xml:space="preserve">P06/P07 not reported</w:t>
            </w:r>
          </w:p>
        </w:tc>
      </w:tr>
      <w:tr>
        <w:trPr>
          <w:tblHeader w:val="false"/>
        </w:trPr>
        <w:tc>
          <w:p>
            <w:r>
              <w:t xml:space="preserve">ETC (Estimate to Complete)</w:t>
            </w:r>
          </w:p>
        </w:tc>
        <w:tc>
          <w:p>
            <w:r>
              <w:t xml:space="preserve">Not reported</w:t>
            </w:r>
          </w:p>
        </w:tc>
        <w:tc>
          <w:p>
            <w:r>
              <w:t xml:space="preserve">Not reported</w:t>
            </w:r>
          </w:p>
        </w:tc>
        <w:tc>
          <w:p>
            <w:r>
              <w:t xml:space="preserve">Not reported</w:t>
            </w:r>
          </w:p>
        </w:tc>
        <w:tc>
          <w:p>
            <w:r>
              <w:t xml:space="preserve">Missing from project reporting set</w:t>
            </w:r>
          </w:p>
        </w:tc>
      </w:tr>
      <w:tr>
        <w:trPr>
          <w:tblHeader w:val="false"/>
        </w:trPr>
        <w:tc>
          <w:tcPr>
            <w:shd w:fill="F5F5F5" w:val="clear"/>
          </w:tcPr>
          <w:p>
            <w:r>
              <w:t xml:space="preserve">Critical-path float (wd)</w:t>
            </w:r>
          </w:p>
        </w:tc>
        <w:tc>
          <w:tcPr>
            <w:shd w:fill="F5F5F5" w:val="clear"/>
          </w:tcPr>
          <w:p>
            <w:r>
              <w:t xml:space="preserve">2</w:t>
            </w:r>
          </w:p>
        </w:tc>
        <w:tc>
          <w:tcPr>
            <w:shd w:fill="F5F5F5" w:val="clear"/>
          </w:tcPr>
          <w:p>
            <w:r>
              <w:t xml:space="preserve">1</w:t>
            </w:r>
          </w:p>
        </w:tc>
        <w:tc>
          <w:tcPr>
            <w:shd w:fill="F5F5F5" w:val="clear"/>
          </w:tcPr>
          <w:p>
            <w:r>
              <w:rPr>
                <w:b/>
                <w:bCs/>
              </w:rPr>
              <w:t xml:space="preserve">0</w:t>
            </w:r>
          </w:p>
        </w:tc>
        <w:tc>
          <w:tcPr>
            <w:shd w:fill="F5F5F5" w:val="clear"/>
          </w:tcPr>
          <w:p>
            <w:r>
              <w:t xml:space="preserve">Gone</w:t>
            </w:r>
          </w:p>
        </w:tc>
      </w:tr>
      <w:tr>
        <w:trPr>
          <w:tblHeader w:val="false"/>
        </w:trPr>
        <w:tc>
          <w:p>
            <w:r>
              <w:t xml:space="preserve">DH1 piling completion %</w:t>
            </w:r>
          </w:p>
        </w:tc>
        <w:tc>
          <w:p>
            <w:r>
              <w:t xml:space="preserve">0.55</w:t>
            </w:r>
          </w:p>
        </w:tc>
        <w:tc>
          <w:p>
            <w:r>
              <w:t xml:space="preserve">0.85</w:t>
            </w:r>
          </w:p>
        </w:tc>
        <w:tc>
          <w:p>
            <w:r>
              <w:rPr>
                <w:b/>
                <w:bCs/>
              </w:rPr>
              <w:t xml:space="preserve">1.00</w:t>
            </w:r>
            <w:r>
              <w:t xml:space="preserve"> (11.09)</w:t>
            </w:r>
          </w:p>
        </w:tc>
        <w:tc>
          <w:p>
            <w:r>
              <w:t xml:space="preserve">Complete on programme</w:t>
            </w:r>
          </w:p>
        </w:tc>
      </w:tr>
      <w:tr>
        <w:trPr>
          <w:tblHeader w:val="false"/>
        </w:trPr>
        <w:tc>
          <w:tcPr>
            <w:shd w:fill="F5F5F5" w:val="clear"/>
          </w:tcPr>
          <w:p>
            <w:r>
              <w:t xml:space="preserve">DH2 piling completion %</w:t>
            </w:r>
          </w:p>
        </w:tc>
        <w:tc>
          <w:tcPr>
            <w:shd w:fill="F5F5F5" w:val="clear"/>
          </w:tcPr>
          <w:p>
            <w:r>
              <w:t xml:space="preserve">0.30</w:t>
            </w:r>
          </w:p>
        </w:tc>
        <w:tc>
          <w:tcPr>
            <w:shd w:fill="F5F5F5" w:val="clear"/>
          </w:tcPr>
          <w:p>
            <w:r>
              <w:t xml:space="preserve">0.70</w:t>
            </w:r>
          </w:p>
        </w:tc>
        <w:tc>
          <w:tcPr>
            <w:shd w:fill="F5F5F5" w:val="clear"/>
          </w:tcPr>
          <w:p>
            <w:r>
              <w:rPr>
                <w:b/>
                <w:bCs/>
              </w:rPr>
              <w:t xml:space="preserve">1.00</w:t>
            </w:r>
            <w:r>
              <w:t xml:space="preserve"> (15.09)</w:t>
            </w:r>
          </w:p>
        </w:tc>
        <w:tc>
          <w:tcPr>
            <w:shd w:fill="F5F5F5" w:val="clear"/>
          </w:tcPr>
          <w:p>
            <w:r>
              <w:t xml:space="preserve">Complete on programme</w:t>
            </w:r>
          </w:p>
        </w:tc>
      </w:tr>
      <w:tr>
        <w:trPr>
          <w:tblHeader w:val="false"/>
        </w:trPr>
        <w:tc>
          <w:p>
            <w:r>
              <w:t xml:space="preserve">DH2 waterproofing % (Kallio)</w:t>
            </w:r>
          </w:p>
        </w:tc>
        <w:tc>
          <w:p>
            <w:r>
              <w:t xml:space="preserve">0.00</w:t>
            </w:r>
          </w:p>
        </w:tc>
        <w:tc>
          <w:p>
            <w:r>
              <w:t xml:space="preserve">0.55</w:t>
            </w:r>
          </w:p>
        </w:tc>
        <w:tc>
          <w:p>
            <w:r>
              <w:rPr>
                <w:b/>
                <w:bCs/>
              </w:rPr>
              <w:t xml:space="preserve">1.00</w:t>
            </w:r>
            <w:r>
              <w:t xml:space="preserve"> (KMO-QC-0219)</w:t>
            </w:r>
          </w:p>
        </w:tc>
        <w:tc>
          <w:p>
            <w:r>
              <w:t xml:space="preserve">Unwitnessed</w:t>
            </w:r>
          </w:p>
        </w:tc>
      </w:tr>
      <w:tr>
        <w:trPr>
          <w:tblHeader w:val="false"/>
        </w:trPr>
        <w:tc>
          <w:tcPr>
            <w:shd w:fill="F5F5F5" w:val="clear"/>
          </w:tcPr>
          <w:p>
            <w:r>
              <w:t xml:space="preserve">DH2 waterproofing % (QS)</w:t>
            </w:r>
          </w:p>
        </w:tc>
        <w:tc>
          <w:tcPr>
            <w:shd w:fill="F5F5F5" w:val="clear"/>
          </w:tcPr>
          <w:p>
            <w:r>
              <w:t xml:space="preserve">0.00</w:t>
            </w:r>
          </w:p>
        </w:tc>
        <w:tc>
          <w:tcPr>
            <w:shd w:fill="F5F5F5" w:val="clear"/>
          </w:tcPr>
          <w:p>
            <w:r>
              <w:t xml:space="preserve">0.55</w:t>
            </w:r>
          </w:p>
        </w:tc>
        <w:tc>
          <w:tcPr>
            <w:shd w:fill="F5F5F5" w:val="clear"/>
          </w:tcPr>
          <w:p>
            <w:r>
              <w:rPr>
                <w:b/>
                <w:bCs/>
              </w:rPr>
              <w:t xml:space="preserve">0.90</w:t>
            </w:r>
          </w:p>
        </w:tc>
        <w:tc>
          <w:tcPr>
            <w:shd w:fill="F5F5F5" w:val="clear"/>
          </w:tcPr>
          <w:p>
            <w:r>
              <w:t xml:space="preserve">W4 upstands incomplete</w:t>
            </w:r>
          </w:p>
        </w:tc>
      </w:tr>
      <w:tr>
        <w:trPr>
          <w:tblHeader w:val="false"/>
        </w:trPr>
        <w:tc>
          <w:p>
            <w:r>
              <w:t xml:space="preserve">R-09 (TMP compound)</w:t>
            </w:r>
          </w:p>
        </w:tc>
        <w:tc>
          <w:p>
            <w:r>
              <w:t xml:space="preserve">Live</w:t>
            </w:r>
          </w:p>
        </w:tc>
        <w:tc>
          <w:p>
            <w:r>
              <w:t xml:space="preserve">Live</w:t>
            </w:r>
          </w:p>
        </w:tc>
        <w:tc>
          <w:p>
            <w:r>
              <w:rPr>
                <w:b/>
                <w:bCs/>
              </w:rPr>
              <w:t xml:space="preserve">Closed 14.09</w:t>
            </w:r>
          </w:p>
        </w:tc>
        <w:tc>
          <w:p>
            <w:r>
              <w:t xml:space="preserve">Closed</w:t>
            </w:r>
          </w:p>
        </w:tc>
      </w:tr>
      <w:tr>
        <w:trPr>
          <w:tblHeader w:val="false"/>
        </w:trPr>
        <w:tc>
          <w:tcPr>
            <w:shd w:fill="F5F5F5" w:val="clear"/>
          </w:tcPr>
          <w:p>
            <w:r>
              <w:t xml:space="preserve">ILM-NOT-003</w:t>
            </w:r>
          </w:p>
        </w:tc>
        <w:tc>
          <w:tcPr>
            <w:shd w:fill="F5F5F5" w:val="clear"/>
          </w:tcPr>
          <w:p>
            <w:r>
              <w:t xml:space="preserve">—</w:t>
            </w:r>
          </w:p>
        </w:tc>
        <w:tc>
          <w:tcPr>
            <w:shd w:fill="F5F5F5" w:val="clear"/>
          </w:tcPr>
          <w:p>
            <w:r>
              <w:t xml:space="preserve">—</w:t>
            </w:r>
          </w:p>
        </w:tc>
        <w:tc>
          <w:tcPr>
            <w:shd w:fill="F5F5F5" w:val="clear"/>
          </w:tcPr>
          <w:p>
            <w:r>
              <w:rPr>
                <w:b/>
                <w:bCs/>
              </w:rPr>
              <w:t xml:space="preserve">Served 24.09</w:t>
            </w:r>
          </w:p>
        </w:tc>
        <w:tc>
          <w:tcPr>
            <w:shd w:fill="F5F5F5" w:val="clear"/>
          </w:tcPr>
          <w:p>
            <w:r>
              <w:t xml:space="preserve">Reasoned deny (derived 67 wd float)</w:t>
            </w:r>
          </w:p>
        </w:tc>
      </w:tr>
      <w:tr>
        <w:trPr>
          <w:tblHeader w:val="false"/>
        </w:trPr>
        <w:tc>
          <w:p>
            <w:r>
              <w:t xml:space="preserve">Kallio PDC-SCH-001 Rev1</w:t>
            </w:r>
          </w:p>
        </w:tc>
        <w:tc>
          <w:p>
            <w:r>
              <w:t xml:space="preserve">—</w:t>
            </w:r>
          </w:p>
        </w:tc>
        <w:tc>
          <w:p>
            <w:r>
              <w:t xml:space="preserve">—</w:t>
            </w:r>
          </w:p>
        </w:tc>
        <w:tc>
          <w:p>
            <w:r>
              <w:rPr>
                <w:b/>
                <w:bCs/>
              </w:rPr>
              <w:t xml:space="preserve">Received 22.09</w:t>
            </w:r>
          </w:p>
        </w:tc>
        <w:tc>
          <w:p>
            <w:r>
              <w:t xml:space="preserve">Do not accept — see change log</w:t>
            </w:r>
          </w:p>
        </w:tc>
      </w:tr>
      <w:tr>
        <w:trPr>
          <w:tblHeader w:val="false"/>
        </w:trPr>
        <w:tc>
          <w:tcPr>
            <w:shd w:fill="F5F5F5" w:val="clear"/>
          </w:tcPr>
          <w:p>
            <w:r>
              <w:t xml:space="preserve">110 kV revised date</w:t>
            </w:r>
          </w:p>
        </w:tc>
        <w:tc>
          <w:tcPr>
            <w:shd w:fill="F5F5F5" w:val="clear"/>
          </w:tcPr>
          <w:p>
            <w:r>
              <w:t xml:space="preserve">—</w:t>
            </w:r>
          </w:p>
        </w:tc>
        <w:tc>
          <w:tcPr>
            <w:shd w:fill="F5F5F5" w:val="clear"/>
          </w:tcPr>
          <w:p>
            <w:r>
              <w:t xml:space="preserve">Notified 28.08</w:t>
            </w:r>
          </w:p>
        </w:tc>
        <w:tc>
          <w:tcPr>
            <w:shd w:fill="F5F5F5" w:val="clear"/>
          </w:tcPr>
          <w:p>
            <w:r>
              <w:rPr>
                <w:b/>
                <w:bCs/>
              </w:rPr>
              <w:t xml:space="preserve">Not modelled</w:t>
            </w:r>
          </w:p>
        </w:tc>
        <w:tc>
          <w:tcPr>
            <w:shd w:fill="F5F5F5" w:val="clear"/>
          </w:tcPr>
          <w:p>
            <w:r>
              <w:t xml:space="preserve">Hold-harmless draft ready (RevC SP-15 28-day notice + SP-7 apportionment)</w:t>
            </w:r>
          </w:p>
        </w:tc>
      </w:tr>
      <w:tr>
        <w:trPr>
          <w:tblHeader w:val="false"/>
        </w:trPr>
        <w:tc>
          <w:p>
            <w:r>
              <w:t xml:space="preserve">C-1140 (NW zone) submission</w:t>
            </w:r>
          </w:p>
        </w:tc>
        <w:tc>
          <w:p>
            <w:r>
              <w:t xml:space="preserve">—</w:t>
            </w:r>
          </w:p>
        </w:tc>
        <w:tc>
          <w:p>
            <w:r>
              <w:t xml:space="preserve">—</w:t>
            </w:r>
          </w:p>
        </w:tc>
        <w:tc>
          <w:p>
            <w:r>
              <w:rPr>
                <w:b/>
                <w:bCs/>
              </w:rPr>
              <w:t xml:space="preserve">EUR 214,600 (CORRECTED)</w:t>
            </w:r>
          </w:p>
        </w:tc>
        <w:tc>
          <w:p>
            <w:r>
              <w:t xml:space="preserve">A07-02 due 14.10</w:t>
            </w:r>
          </w:p>
        </w:tc>
      </w:tr>
    </w:tbl>
    <w:p/>
    <w:p>
      <w:pPr>
        <w:pStyle w:val="Heading1"/>
        <w:pBdr>
          <w:bottom w:val="single" w:color="1F6FB2" w:sz="6"/>
        </w:pBdr>
        <w:spacing w:after="120" w:before="240"/>
      </w:pPr>
      <w:r>
        <w:rPr>
          <w:b/>
          <w:bCs/>
          <w:color w:val="0F2E4C"/>
        </w:rPr>
        <w:t xml:space="preserve">— 6.5 Source-attribution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Period</w:t>
            </w:r>
          </w:p>
        </w:tc>
        <w:tc>
          <w:tcPr>
            <w:shd w:fill="0F2E4C" w:val="clear"/>
          </w:tcPr>
          <w:p>
            <w:pPr>
              <w:jc w:val="left"/>
            </w:pPr>
            <w:r>
              <w:rPr>
                <w:b/>
                <w:bCs/>
                <w:color w:val="FFFFFF"/>
              </w:rPr>
              <w:t xml:space="preserve">Source workbook</w:t>
            </w:r>
          </w:p>
        </w:tc>
        <w:tc>
          <w:tcPr>
            <w:shd w:fill="0F2E4C" w:val="clear"/>
          </w:tcPr>
          <w:p>
            <w:pPr>
              <w:jc w:val="left"/>
            </w:pPr>
            <w:r>
              <w:rPr>
                <w:b/>
                <w:bCs/>
                <w:color w:val="FFFFFF"/>
              </w:rPr>
              <w:t xml:space="preserve">What it actually reports</w:t>
            </w:r>
          </w:p>
        </w:tc>
      </w:tr>
      <w:tr>
        <w:trPr>
          <w:tblHeader w:val="false"/>
        </w:trPr>
        <w:tc>
          <w:p>
            <w:r>
              <w:rPr>
                <w:b/>
                <w:bCs/>
              </w:rPr>
              <w:t xml:space="preserve">P05</w:t>
            </w:r>
          </w:p>
        </w:tc>
        <w:tc>
          <w:p>
            <w:r>
              <w:rPr>
                <w:rFonts w:ascii="Consolas" w:cs="Consolas" w:eastAsia="Consolas" w:hAnsi="Consolas"/>
                <w:color w:val="1F6FB2"/>
              </w:rPr>
              <w:t xml:space="preserve">Polaris_DC1_P05_Progress_and_EVM.xlsx</w:t>
            </w:r>
            <w:r>
              <w:t xml:space="preserve"> (EVM Summary, 31.07.2026)</w:t>
            </w:r>
          </w:p>
        </w:tc>
        <w:tc>
          <w:p>
            <w:r>
              <w:t xml:space="preserve">SPI 0.98, CPI 0.859, EAC EUR 107,514,938, VAC EUR −15,114,938, PM manual EAC EUR 92,400,000, TCPI 0.989, SV −65,681, CV −529,413 — all reported</w:t>
            </w:r>
          </w:p>
        </w:tc>
      </w:tr>
      <w:tr>
        <w:trPr>
          <w:tblHeader w:val="false"/>
        </w:trPr>
        <w:tc>
          <w:tcPr>
            <w:shd w:fill="F5F5F5" w:val="clear"/>
          </w:tcPr>
          <w:p>
            <w:r>
              <w:rPr>
                <w:b/>
                <w:bCs/>
              </w:rPr>
              <w:t xml:space="preserve">P06</w:t>
            </w:r>
          </w:p>
        </w:tc>
        <w:tc>
          <w:tcPr>
            <w:shd w:fill="F5F5F5" w:val="clear"/>
          </w:tcPr>
          <w:p>
            <w:r>
              <w:rPr>
                <w:rFonts w:ascii="Consolas" w:cs="Consolas" w:eastAsia="Consolas" w:hAnsi="Consolas"/>
                <w:color w:val="1F6FB2"/>
              </w:rPr>
              <w:t xml:space="preserve">Polaris_DC1_P06_Progress_and_EVM.xlsx</w:t>
            </w:r>
            <w:r>
              <w:t xml:space="preserve"> (EVM_Disclosure, 31.08.2026)</w:t>
            </w:r>
          </w:p>
        </w:tc>
        <w:tc>
          <w:tcPr>
            <w:shd w:fill="F5F5F5" w:val="clear"/>
          </w:tcPr>
          <w:p>
            <w:r>
              <w:t xml:space="preserve">SPI 1.03 (indicative), CPI 0.94 (indicative), EAC EUR 97,900,000 (indicative), VAC EUR −5,500,000 (indicative). P06 source explicitly flags EV/SPI/CPI/EAC/VAC as "INDICATIVE — derived from governed physical % × BOQ line value. They are not a contractual EV extract." SV/CV were </w:t>
            </w:r>
            <w:r>
              <w:rPr>
                <w:b/>
                <w:bCs/>
              </w:rPr>
              <w:t xml:space="preserve">not reported</w:t>
            </w:r>
            <w:r>
              <w:t xml:space="preserve">; the cells are empty rather than back-filled. PM manual EAC was </w:t>
            </w:r>
            <w:r>
              <w:rPr>
                <w:b/>
                <w:bCs/>
              </w:rPr>
              <w:t xml:space="preserve">not reported</w:t>
            </w:r>
            <w:r>
              <w:t xml:space="preserve">. TCPI was </w:t>
            </w:r>
            <w:r>
              <w:rPr>
                <w:b/>
                <w:bCs/>
              </w:rPr>
              <w:t xml:space="preserve">not reported</w:t>
            </w:r>
            <w:r>
              <w:t xml:space="preserve">.</w:t>
            </w:r>
          </w:p>
        </w:tc>
      </w:tr>
      <w:tr>
        <w:trPr>
          <w:tblHeader w:val="false"/>
        </w:trPr>
        <w:tc>
          <w:p>
            <w:r>
              <w:rPr>
                <w:b/>
                <w:bCs/>
              </w:rPr>
              <w:t xml:space="preserve">P07</w:t>
            </w:r>
          </w:p>
        </w:tc>
        <w:tc>
          <w:p>
            <w:r>
              <w:t xml:space="preserve">This period's workbook (EVM Summary basis B; Time Series)</w:t>
            </w:r>
          </w:p>
        </w:tc>
        <w:tc>
          <w:p>
            <w:r>
              <w:t xml:space="preserve">Full BAC basis derived from P06 + 1 month. SV/CV at the full BAC basis are derived (EV EUR 7.0M − PV EUR 6.86M = EUR 138,068; EV EUR 7.0M − AC EUR 7.76M = EUR −757,800). At the activity subset basis SV/CV are also computed (EUR −11,200 / EUR −2,350,950). </w:t>
            </w:r>
            <w:r>
              <w:rPr>
                <w:b/>
                <w:bCs/>
              </w:rPr>
              <w:t xml:space="preserve">The full BAC basis is derived — the full BOQ line values are not in the P07 source set, so this is an approximation. P08 should report SV/CV explicitly.</w:t>
            </w:r>
          </w:p>
        </w:tc>
      </w:tr>
      <w:tr>
        <w:trPr>
          <w:tblHeader w:val="false"/>
        </w:trPr>
        <w:tc>
          <w:tcPr>
            <w:shd w:fill="F5F5F5" w:val="clear"/>
          </w:tcPr>
          <w:p>
            <w:r>
              <w:t xml:space="preserve">Earlier months (Mar–Jun 2026)</w:t>
            </w:r>
          </w:p>
        </w:tc>
        <w:tc>
          <w:tcPr>
            <w:shd w:fill="F5F5F5" w:val="clear"/>
          </w:tcPr>
          <w:p>
            <w:r>
              <w:t xml:space="preserve">—</w:t>
            </w:r>
          </w:p>
        </w:tc>
        <w:tc>
          <w:tcPr>
            <w:shd w:fill="F5F5F5" w:val="clear"/>
          </w:tcPr>
          <w:p>
            <w:r>
              <w:t xml:space="preserve">PV/EV/AC are </w:t>
            </w:r>
            <w:r>
              <w:rPr>
                <w:b/>
                <w:bCs/>
              </w:rPr>
              <w:t xml:space="preserve">not reported</w:t>
            </w:r>
            <w:r>
              <w:t xml:space="preserve"> in any project workbook. The P06 S-curve sheet contains "ESTIMATED earlier-period ramp" figures; per the no-back-fill rule these have not been used.</w:t>
            </w:r>
          </w:p>
        </w:tc>
      </w:tr>
    </w:tbl>
    <w:p/>
    <w:p>
      <w:pPr>
        <w:pStyle w:val="Heading1"/>
        <w:pBdr>
          <w:bottom w:val="single" w:color="1F6FB2" w:sz="6"/>
        </w:pBdr>
        <w:spacing w:after="120" w:before="240"/>
      </w:pPr>
      <w:r>
        <w:rPr>
          <w:b/>
          <w:bCs/>
          <w:color w:val="0F2E4C"/>
        </w:rPr>
        <w:t xml:space="preserve">— 6.6 Charts (P07 cycle 3)</w:t>
      </w:r>
    </w:p>
    <w:p>
      <w:pPr>
        <w:spacing w:after="120"/>
      </w:pPr>
      <w:r>
        <w:t xml:space="preserve">The companion workbook carries four native openpyxl chart objects on the Charts sheet and equivalent chart images on the deck:</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Chart</w:t>
            </w:r>
          </w:p>
        </w:tc>
        <w:tc>
          <w:tcPr>
            <w:shd w:fill="0F2E4C" w:val="clear"/>
          </w:tcPr>
          <w:p>
            <w:pPr>
              <w:jc w:val="left"/>
            </w:pPr>
            <w:r>
              <w:rPr>
                <w:b/>
                <w:bCs/>
                <w:color w:val="FFFFFF"/>
              </w:rPr>
              <w:t xml:space="preserve">Source</w:t>
            </w:r>
          </w:p>
        </w:tc>
        <w:tc>
          <w:tcPr>
            <w:shd w:fill="0F2E4C" w:val="clear"/>
          </w:tcPr>
          <w:p>
            <w:pPr>
              <w:jc w:val="left"/>
            </w:pPr>
            <w:r>
              <w:rPr>
                <w:b/>
                <w:bCs/>
                <w:color w:val="FFFFFF"/>
              </w:rPr>
              <w:t xml:space="preserve">Empty cells / no back-fill</w:t>
            </w:r>
          </w:p>
        </w:tc>
      </w:tr>
      <w:tr>
        <w:trPr>
          <w:tblHeader w:val="false"/>
        </w:trPr>
        <w:tc>
          <w:p>
            <w:r>
              <w:t xml:space="preserve">S-curve (PV / EV / AC)</w:t>
            </w:r>
          </w:p>
        </w:tc>
        <w:tc>
          <w:p>
            <w:r>
              <w:t xml:space="preserve">Time Series sheet, Charts sheet data table</w:t>
            </w:r>
          </w:p>
        </w:tc>
        <w:tc>
          <w:p>
            <w:r>
              <w:t xml:space="preserve">Reported data points only for P05/P06/P07; BAC baseline projection runs continuously from 01.03.2026 to 02.05.2027 and project close</w:t>
            </w:r>
          </w:p>
        </w:tc>
      </w:tr>
      <w:tr>
        <w:trPr>
          <w:tblHeader w:val="false"/>
        </w:trPr>
        <w:tc>
          <w:tcPr>
            <w:shd w:fill="F5F5F5" w:val="clear"/>
          </w:tcPr>
          <w:p>
            <w:r>
              <w:t xml:space="preserve">SPI / CPI by period</w:t>
            </w:r>
          </w:p>
        </w:tc>
        <w:tc>
          <w:tcPr>
            <w:shd w:fill="F5F5F5" w:val="clear"/>
          </w:tcPr>
          <w:p>
            <w:r>
              <w:t xml:space="preserve">Time Series sheet, Charts sheet data table</w:t>
            </w:r>
          </w:p>
        </w:tc>
        <w:tc>
          <w:tcPr>
            <w:shd w:fill="F5F5F5" w:val="clear"/>
          </w:tcPr>
          <w:p>
            <w:r>
              <w:t xml:space="preserve">3 data points (P05 / P06 / P07) — all reported</w:t>
            </w:r>
          </w:p>
        </w:tc>
      </w:tr>
      <w:tr>
        <w:trPr>
          <w:tblHeader w:val="false"/>
        </w:trPr>
        <w:tc>
          <w:p>
            <w:r>
              <w:t xml:space="preserve">SV / CV by period</w:t>
            </w:r>
          </w:p>
        </w:tc>
        <w:tc>
          <w:p>
            <w:r>
              <w:t xml:space="preserve">Time Series sheet, deck table (workbook SV/CV column in Time Series, deck slide 6 table)</w:t>
            </w:r>
          </w:p>
        </w:tc>
        <w:tc>
          <w:p>
            <w:r>
              <w:t xml:space="preserve">P05 only; P06 and P07 not reported in their workbooks (empty cells)</w:t>
            </w:r>
          </w:p>
        </w:tc>
      </w:tr>
      <w:tr>
        <w:trPr>
          <w:tblHeader w:val="false"/>
        </w:trPr>
        <w:tc>
          <w:tcPr>
            <w:shd w:fill="F5F5F5" w:val="clear"/>
          </w:tcPr>
          <w:p>
            <w:r>
              <w:t xml:space="preserve">BAC / EAC / VAC by period</w:t>
            </w:r>
          </w:p>
        </w:tc>
        <w:tc>
          <w:tcPr>
            <w:shd w:fill="F5F5F5" w:val="clear"/>
          </w:tcPr>
          <w:p>
            <w:r>
              <w:t xml:space="preserve">Time Series sheet, Charts sheet data table</w:t>
            </w:r>
          </w:p>
        </w:tc>
        <w:tc>
          <w:tcPr>
            <w:shd w:fill="F5F5F5" w:val="clear"/>
          </w:tcPr>
          <w:p>
            <w:r>
              <w:t xml:space="preserve">3 data points (P05 / P06 / P07) — all reported</w:t>
            </w:r>
          </w:p>
        </w:tc>
      </w:tr>
    </w:tbl>
    <w:p/>
    <w:p>
      <w:pPr>
        <w:pStyle w:val="Heading1"/>
        <w:pBdr>
          <w:bottom w:val="single" w:color="1F6FB2" w:sz="6"/>
        </w:pBdr>
        <w:spacing w:after="120" w:before="240"/>
      </w:pPr>
      <w:r>
        <w:rPr>
          <w:b/>
          <w:bCs/>
          <w:color w:val="0F2E4C"/>
        </w:rPr>
        <w:t xml:space="preserve">7. Risk Update</w:t>
      </w:r>
    </w:p>
    <w:p>
      <w:pPr>
        <w:spacing w:after="120"/>
      </w:pPr>
      <w:r>
        <w:t xml:space="preserve">Carried and emerging risks this period. R-09 closed.</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E4C" w:val="clear"/>
          </w:tcPr>
          <w:p>
            <w:pPr>
              <w:jc w:val="left"/>
            </w:pPr>
            <w:r>
              <w:rPr>
                <w:b/>
                <w:bCs/>
                <w:color w:val="FFFFFF"/>
              </w:rPr>
              <w:t xml:space="preserve">Risk ID</w:t>
            </w:r>
          </w:p>
        </w:tc>
        <w:tc>
          <w:tcPr>
            <w:shd w:fill="0F2E4C" w:val="clear"/>
          </w:tcPr>
          <w:p>
            <w:pPr>
              <w:jc w:val="left"/>
            </w:pPr>
            <w:r>
              <w:rPr>
                <w:b/>
                <w:bCs/>
                <w:color w:val="FFFFFF"/>
              </w:rPr>
              <w:t xml:space="preserve">Description</w:t>
            </w:r>
          </w:p>
        </w:tc>
        <w:tc>
          <w:tcPr>
            <w:shd w:fill="0F2E4C" w:val="clear"/>
          </w:tcPr>
          <w:p>
            <w:pPr>
              <w:jc w:val="left"/>
            </w:pPr>
            <w:r>
              <w:rPr>
                <w:b/>
                <w:bCs/>
                <w:color w:val="FFFFFF"/>
              </w:rPr>
              <w:t xml:space="preserve">Owner</w:t>
            </w:r>
          </w:p>
        </w:tc>
        <w:tc>
          <w:tcPr>
            <w:shd w:fill="0F2E4C" w:val="clear"/>
          </w:tcPr>
          <w:p>
            <w:pPr>
              <w:jc w:val="left"/>
            </w:pPr>
            <w:r>
              <w:rPr>
                <w:b/>
                <w:bCs/>
                <w:color w:val="FFFFFF"/>
              </w:rPr>
              <w:t xml:space="preserve">Status this period</w:t>
            </w:r>
          </w:p>
        </w:tc>
        <w:tc>
          <w:tcPr>
            <w:shd w:fill="0F2E4C" w:val="clear"/>
          </w:tcPr>
          <w:p>
            <w:pPr>
              <w:jc w:val="left"/>
            </w:pPr>
            <w:r>
              <w:rPr>
                <w:b/>
                <w:bCs/>
                <w:color w:val="FFFFFF"/>
              </w:rPr>
              <w:t xml:space="preserve">Change</w:t>
            </w:r>
          </w:p>
        </w:tc>
      </w:tr>
      <w:tr>
        <w:trPr>
          <w:tblHeader w:val="false"/>
        </w:trPr>
        <w:tc>
          <w:p>
            <w:r>
              <w:t xml:space="preserve">R-09</w:t>
            </w:r>
          </w:p>
        </w:tc>
        <w:tc>
          <w:p>
            <w:r>
              <w:t xml:space="preserve">TMP compound</w:t>
            </w:r>
          </w:p>
        </w:tc>
        <w:tc>
          <w:p>
            <w:r>
              <w:t xml:space="preserve">TP-008 Lehtinen + PMC</w:t>
            </w:r>
          </w:p>
        </w:tc>
        <w:tc>
          <w:p>
            <w:r>
              <w:rPr>
                <w:b/>
                <w:bCs/>
              </w:rPr>
              <w:t xml:space="preserve">Closed 14.09.2026</w:t>
            </w:r>
          </w:p>
        </w:tc>
        <w:tc>
          <w:p>
            <w:r>
              <w:t xml:space="preserve">Mitigated — no claim</w:t>
            </w:r>
          </w:p>
        </w:tc>
      </w:tr>
      <w:tr>
        <w:trPr>
          <w:tblHeader w:val="false"/>
        </w:trPr>
        <w:tc>
          <w:tcPr>
            <w:shd w:fill="F5F5F5" w:val="clear"/>
          </w:tcPr>
          <w:p>
            <w:r>
              <w:t xml:space="preserve">R-17</w:t>
            </w:r>
          </w:p>
        </w:tc>
        <w:tc>
          <w:tcPr>
            <w:shd w:fill="F5F5F5" w:val="clear"/>
          </w:tcPr>
          <w:p>
            <w:r>
              <w:t xml:space="preserve">Ilmatek productivity</w:t>
            </w:r>
          </w:p>
        </w:tc>
        <w:tc>
          <w:tcPr>
            <w:shd w:fill="F5F5F5" w:val="clear"/>
          </w:tcPr>
          <w:p>
            <w:r>
              <w:t xml:space="preserve">TP-005 + PMC</w:t>
            </w:r>
          </w:p>
        </w:tc>
        <w:tc>
          <w:tcPr>
            <w:shd w:fill="F5F5F5" w:val="clear"/>
          </w:tcPr>
          <w:p>
            <w:r>
              <w:t xml:space="preserve">Open — A05-05 recovery schedule still not received; ILM-NOT-003 served 24.09 instead</w:t>
            </w:r>
          </w:p>
        </w:tc>
        <w:tc>
          <w:tcPr>
            <w:shd w:fill="F5F5F5" w:val="clear"/>
          </w:tcPr>
          <w:p>
            <w:r>
              <w:rPr>
                <w:b/>
                <w:bCs/>
              </w:rPr>
              <w:t xml:space="preserve">Escalated</w:t>
            </w:r>
            <w:r>
              <w:t xml:space="preserve"> — productivity record; sub's response is to claim time, not to recover</w:t>
            </w:r>
          </w:p>
        </w:tc>
      </w:tr>
      <w:tr>
        <w:trPr>
          <w:tblHeader w:val="false"/>
        </w:trPr>
        <w:tc>
          <w:p>
            <w:r>
              <w:t xml:space="preserve">R-18</w:t>
            </w:r>
          </w:p>
        </w:tc>
        <w:tc>
          <w:p>
            <w:r>
              <w:t xml:space="preserve">Kallio DH2 supply chain</w:t>
            </w:r>
          </w:p>
        </w:tc>
        <w:tc>
          <w:p>
            <w:r>
              <w:t xml:space="preserve">TP-001 + PMC</w:t>
            </w:r>
          </w:p>
        </w:tc>
        <w:tc>
          <w:p>
            <w:r>
              <w:t xml:space="preserve">Open — DH2 piling complete on programme; slab pour 1 of 4 done 21.09</w:t>
            </w:r>
          </w:p>
        </w:tc>
        <w:tc>
          <w:p>
            <w:r>
              <w:rPr>
                <w:b/>
                <w:bCs/>
              </w:rPr>
              <w:t xml:space="preserve">Stable</w:t>
            </w:r>
            <w:r>
              <w:t xml:space="preserve"> — but pours 2–4 contingent on W4 closure</w:t>
            </w:r>
          </w:p>
        </w:tc>
      </w:tr>
      <w:tr>
        <w:trPr>
          <w:tblHeader w:val="false"/>
        </w:trPr>
        <w:tc>
          <w:tcPr>
            <w:shd w:fill="F5F5F5" w:val="clear"/>
          </w:tcPr>
          <w:p>
            <w:r>
              <w:t xml:space="preserve">R-19</w:t>
            </w:r>
          </w:p>
        </w:tc>
        <w:tc>
          <w:tcPr>
            <w:shd w:fill="F5F5F5" w:val="clear"/>
          </w:tcPr>
          <w:p>
            <w:r>
              <w:t xml:space="preserve">DH2 waterproofing workmanship</w:t>
            </w:r>
          </w:p>
        </w:tc>
        <w:tc>
          <w:tcPr>
            <w:shd w:fill="F5F5F5" w:val="clear"/>
          </w:tcPr>
          <w:p>
            <w:r>
              <w:t xml:space="preserve">TP-001 + QS</w:t>
            </w:r>
          </w:p>
        </w:tc>
        <w:tc>
          <w:tcPr>
            <w:shd w:fill="F5F5F5" w:val="clear"/>
          </w:tcPr>
          <w:p>
            <w:r>
              <w:rPr>
                <w:b/>
                <w:bCs/>
              </w:rPr>
              <w:t xml:space="preserve">NEW</w:t>
            </w:r>
            <w:r>
              <w:t xml:space="preserve"> — NCR PDC-NCR-001 drafted; W4 upstands incomplete; slab poured 21.09 over non-conforming work. KMO-QC-0219 unwitnessed</w:t>
            </w:r>
          </w:p>
        </w:tc>
        <w:tc>
          <w:tcPr>
            <w:shd w:fill="F5F5F5" w:val="clear"/>
          </w:tcPr>
          <w:p>
            <w:r>
              <w:rPr>
                <w:b/>
                <w:bCs/>
              </w:rPr>
              <w:t xml:space="preserve">New</w:t>
            </w:r>
          </w:p>
        </w:tc>
      </w:tr>
      <w:tr>
        <w:trPr>
          <w:tblHeader w:val="false"/>
        </w:trPr>
        <w:tc>
          <w:p>
            <w:r>
              <w:t xml:space="preserve">R-20</w:t>
            </w:r>
          </w:p>
        </w:tc>
        <w:tc>
          <w:p>
            <w:r>
              <w:t xml:space="preserve">110 kV revised energisation</w:t>
            </w:r>
          </w:p>
        </w:tc>
        <w:tc>
          <w:p>
            <w:r>
              <w:t xml:space="preserve">PMC + Voima</w:t>
            </w:r>
          </w:p>
        </w:tc>
        <w:tc>
          <w:p>
            <w:r>
              <w:rPr>
                <w:b/>
                <w:bCs/>
              </w:rPr>
              <w:t xml:space="preserve">Hold-harmless drafted this period (PDC-LTR-001-021)</w:t>
            </w:r>
            <w:r>
              <w:t xml:space="preserve"> — substance owed by 31.10.2026. </w:t>
            </w:r>
            <w:r>
              <w:rPr>
                <w:b/>
                <w:bCs/>
              </w:rPr>
              <w:t xml:space="preserve">PDC-PC-001 RevC SP-7 apportionment regime (not bar); Cost bar retained. RevC SP-15 28-day notice; 20.2.2 reinstated in full.</w:t>
            </w:r>
          </w:p>
        </w:tc>
        <w:tc>
          <w:p>
            <w:r>
              <w:rPr>
                <w:b/>
                <w:bCs/>
              </w:rPr>
              <w:t xml:space="preserve">New</w:t>
            </w:r>
            <w:r>
              <w:t xml:space="preserve"> — material to schedule</w:t>
            </w:r>
          </w:p>
        </w:tc>
      </w:tr>
      <w:tr>
        <w:trPr>
          <w:tblHeader w:val="false"/>
        </w:trPr>
        <w:tc>
          <w:tcPr>
            <w:shd w:fill="F5F5F5" w:val="clear"/>
          </w:tcPr>
          <w:p>
            <w:r>
              <w:t xml:space="preserve">R-21</w:t>
            </w:r>
          </w:p>
        </w:tc>
        <w:tc>
          <w:tcPr>
            <w:shd w:fill="F5F5F5" w:val="clear"/>
          </w:tcPr>
          <w:p>
            <w:r>
              <w:t xml:space="preserve">EI-005 main gate security</w:t>
            </w:r>
          </w:p>
        </w:tc>
        <w:tc>
          <w:tcPr>
            <w:shd w:fill="F5F5F5" w:val="clear"/>
          </w:tcPr>
          <w:p>
            <w:r>
              <w:t xml:space="preserve">PMC</w:t>
            </w:r>
          </w:p>
        </w:tc>
        <w:tc>
          <w:tcPr>
            <w:shd w:fill="F5F5F5" w:val="clear"/>
          </w:tcPr>
          <w:p>
            <w:r>
              <w:rPr>
                <w:b/>
                <w:bCs/>
              </w:rPr>
              <w:t xml:space="preserve">NEW</w:t>
            </w:r>
            <w:r>
              <w:t xml:space="preserve"> — instruction 22.09.2026, 28-day quotation window; PDC-PC-001 RevC SP-9 / Sub-Clause 13.3.1 — interim valuation wording</w:t>
            </w:r>
          </w:p>
        </w:tc>
        <w:tc>
          <w:tcPr>
            <w:shd w:fill="F5F5F5" w:val="clear"/>
          </w:tcPr>
          <w:p>
            <w:r>
              <w:rPr>
                <w:b/>
                <w:bCs/>
              </w:rPr>
              <w:t xml:space="preserve">New</w:t>
            </w:r>
          </w:p>
        </w:tc>
      </w:tr>
      <w:tr>
        <w:trPr>
          <w:tblHeader w:val="false"/>
        </w:trPr>
        <w:tc>
          <w:p>
            <w:r>
              <w:t xml:space="preserve">R-22</w:t>
            </w:r>
          </w:p>
        </w:tc>
        <w:tc>
          <w:p>
            <w:r>
              <w:t xml:space="preserve">C-1140 (NW zone) reconciliation</w:t>
            </w:r>
          </w:p>
        </w:tc>
        <w:tc>
          <w:p>
            <w:r>
              <w:t xml:space="preserve">TP-001 + commercial</w:t>
            </w:r>
          </w:p>
        </w:tc>
        <w:tc>
          <w:p>
            <w:r>
              <w:t xml:space="preserve">Update — Kallio submitted EUR 214,600 (CORRECTED) vs incurred EUR 152,800 — diff EUR 61,800</w:t>
            </w:r>
          </w:p>
        </w:tc>
        <w:tc>
          <w:p>
            <w:r>
              <w:rPr>
                <w:b/>
                <w:bCs/>
              </w:rPr>
              <w:t xml:space="preserve">Stable</w:t>
            </w:r>
            <w:r>
              <w:t xml:space="preserve"> — A07-02 by 14.10</w:t>
            </w:r>
          </w:p>
        </w:tc>
      </w:tr>
      <w:tr>
        <w:trPr>
          <w:tblHeader w:val="false"/>
        </w:trPr>
        <w:tc>
          <w:tcPr>
            <w:shd w:fill="F5F5F5" w:val="clear"/>
          </w:tcPr>
          <w:p>
            <w:r>
              <w:t xml:space="preserve">R-23</w:t>
            </w:r>
          </w:p>
        </w:tc>
        <w:tc>
          <w:tcPr>
            <w:shd w:fill="F5F5F5" w:val="clear"/>
          </w:tcPr>
          <w:p>
            <w:r>
              <w:t xml:space="preserve">Activity subset CPI 0.697 / Full BAC CPI 0.902 — cost overrun</w:t>
            </w:r>
          </w:p>
        </w:tc>
        <w:tc>
          <w:tcPr>
            <w:shd w:fill="F5F5F5" w:val="clear"/>
          </w:tcPr>
          <w:p>
            <w:r>
              <w:t xml:space="preserve">PMC + commercial</w:t>
            </w:r>
          </w:p>
        </w:tc>
        <w:tc>
          <w:tcPr>
            <w:shd w:fill="F5F5F5" w:val="clear"/>
          </w:tcPr>
          <w:p>
            <w:r>
              <w:rPr>
                <w:b/>
                <w:bCs/>
              </w:rPr>
              <w:t xml:space="preserve">NEW</w:t>
            </w:r>
            <w:r>
              <w:t xml:space="preserve"> — material to EAC; driven by Kallio C-1100 / C-1200</w:t>
            </w:r>
          </w:p>
        </w:tc>
        <w:tc>
          <w:tcPr>
            <w:shd w:fill="F5F5F5" w:val="clear"/>
          </w:tcPr>
          <w:p>
            <w:r>
              <w:rPr>
                <w:b/>
                <w:bCs/>
              </w:rPr>
              <w:t xml:space="preserve">New</w:t>
            </w:r>
            <w:r>
              <w:t xml:space="preserve"> — A07-07 by 20.10</w:t>
            </w:r>
          </w:p>
        </w:tc>
      </w:tr>
    </w:tbl>
    <w:p/>
    <w:p>
      <w:pPr>
        <w:pStyle w:val="Heading1"/>
        <w:pBdr>
          <w:bottom w:val="single" w:color="1F6FB2" w:sz="6"/>
        </w:pBdr>
        <w:spacing w:after="120" w:before="240"/>
      </w:pPr>
      <w:r>
        <w:rPr>
          <w:b/>
          <w:bCs/>
          <w:color w:val="0F2E4C"/>
        </w:rPr>
        <w:t xml:space="preserve">8. Open Actions / Checks</w:t>
      </w:r>
    </w:p>
    <w:p>
      <w:pPr>
        <w:pStyle w:val="Heading1"/>
        <w:pBdr>
          <w:bottom w:val="single" w:color="1F6FB2" w:sz="6"/>
        </w:pBdr>
        <w:spacing w:after="120" w:before="240"/>
      </w:pPr>
      <w:r>
        <w:rPr>
          <w:b/>
          <w:bCs/>
          <w:color w:val="0F2E4C"/>
        </w:rPr>
        <w:t xml:space="preserve">— 8.1 Carried from P05 / P06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2E4C" w:val="clear"/>
          </w:tcPr>
          <w:p>
            <w:pPr>
              <w:jc w:val="left"/>
            </w:pPr>
            <w:r>
              <w:rPr>
                <w:b/>
                <w:bCs/>
                <w:color w:val="FFFFFF"/>
              </w:rPr>
              <w:t xml:space="preserve">Ref</w:t>
            </w:r>
          </w:p>
        </w:tc>
        <w:tc>
          <w:tcPr>
            <w:shd w:fill="0F2E4C" w:val="clear"/>
          </w:tcPr>
          <w:p>
            <w:pPr>
              <w:jc w:val="left"/>
            </w:pPr>
            <w:r>
              <w:rPr>
                <w:b/>
                <w:bCs/>
                <w:color w:val="FFFFFF"/>
              </w:rPr>
              <w:t xml:space="preserve">Action</w:t>
            </w:r>
          </w:p>
        </w:tc>
        <w:tc>
          <w:tcPr>
            <w:shd w:fill="0F2E4C" w:val="clear"/>
          </w:tcPr>
          <w:p>
            <w:pPr>
              <w:jc w:val="left"/>
            </w:pPr>
            <w:r>
              <w:rPr>
                <w:b/>
                <w:bCs/>
                <w:color w:val="FFFFFF"/>
              </w:rPr>
              <w:t xml:space="preserve">Owner</w:t>
            </w:r>
          </w:p>
        </w:tc>
        <w:tc>
          <w:tcPr>
            <w:shd w:fill="0F2E4C" w:val="clear"/>
          </w:tcPr>
          <w:p>
            <w:pPr>
              <w:jc w:val="left"/>
            </w:pPr>
            <w:r>
              <w:rPr>
                <w:b/>
                <w:bCs/>
                <w:color w:val="FFFFFF"/>
              </w:rPr>
              <w:t xml:space="preserve">Due</w:t>
            </w:r>
          </w:p>
        </w:tc>
        <w:tc>
          <w:tcPr>
            <w:shd w:fill="0F2E4C" w:val="clear"/>
          </w:tcPr>
          <w:p>
            <w:pPr>
              <w:jc w:val="left"/>
            </w:pPr>
            <w:r>
              <w:rPr>
                <w:b/>
                <w:bCs/>
                <w:color w:val="FFFFFF"/>
              </w:rPr>
              <w:t xml:space="preserve">Status</w:t>
            </w:r>
          </w:p>
        </w:tc>
        <w:tc>
          <w:tcPr>
            <w:shd w:fill="0F2E4C" w:val="clear"/>
          </w:tcPr>
          <w:p>
            <w:pPr>
              <w:jc w:val="left"/>
            </w:pPr>
            <w:r>
              <w:rPr>
                <w:b/>
                <w:bCs/>
                <w:color w:val="FFFFFF"/>
              </w:rPr>
              <w:t xml:space="preserve">Notes</w:t>
            </w:r>
          </w:p>
        </w:tc>
      </w:tr>
      <w:tr>
        <w:trPr>
          <w:tblHeader w:val="false"/>
        </w:trPr>
        <w:tc>
          <w:p>
            <w:r>
              <w:t xml:space="preserve">A06-01</w:t>
            </w:r>
          </w:p>
        </w:tc>
        <w:tc>
          <w:p>
            <w:r>
              <w:t xml:space="preserve">EI-004 cost build-up submission</w:t>
            </w:r>
          </w:p>
        </w:tc>
        <w:tc>
          <w:p>
            <w:r>
              <w:t xml:space="preserve">PK / Kallio</w:t>
            </w:r>
          </w:p>
        </w:tc>
        <w:tc>
          <w:p>
            <w:r>
              <w:t xml:space="preserve">31.08.2026</w:t>
            </w:r>
          </w:p>
        </w:tc>
        <w:tc>
          <w:p>
            <w:r>
              <w:rPr>
                <w:b/>
                <w:bCs/>
              </w:rPr>
              <w:t xml:space="preserve">Closed</w:t>
            </w:r>
          </w:p>
        </w:tc>
        <w:tc>
          <w:p>
            <w:r>
              <w:t xml:space="preserve">PDC-COST-001-EI004 received 16.09.2026 — </w:t>
            </w:r>
            <w:r>
              <w:rPr>
                <w:b/>
                <w:bCs/>
              </w:rPr>
              <w:t xml:space="preserve">CORRECTED total EUR 214,600</w:t>
            </w:r>
          </w:p>
        </w:tc>
      </w:tr>
      <w:tr>
        <w:trPr>
          <w:tblHeader w:val="false"/>
        </w:trPr>
        <w:tc>
          <w:tcPr>
            <w:shd w:fill="F5F5F5" w:val="clear"/>
          </w:tcPr>
          <w:p>
            <w:r>
              <w:t xml:space="preserve">A06-02</w:t>
            </w:r>
          </w:p>
        </w:tc>
        <w:tc>
          <w:tcPr>
            <w:shd w:fill="F5F5F5" w:val="clear"/>
          </w:tcPr>
          <w:p>
            <w:r>
              <w:t xml:space="preserve">NW zone made-ground completion</w:t>
            </w:r>
          </w:p>
        </w:tc>
        <w:tc>
          <w:tcPr>
            <w:shd w:fill="F5F5F5" w:val="clear"/>
          </w:tcPr>
          <w:p>
            <w:r>
              <w:t xml:space="preserve">PK / Kallio</w:t>
            </w:r>
          </w:p>
        </w:tc>
        <w:tc>
          <w:tcPr>
            <w:shd w:fill="F5F5F5" w:val="clear"/>
          </w:tcPr>
          <w:p>
            <w:r>
              <w:t xml:space="preserve">31.08.2026</w:t>
            </w:r>
          </w:p>
        </w:tc>
        <w:tc>
          <w:tcPr>
            <w:shd w:fill="F5F5F5" w:val="clear"/>
          </w:tcPr>
          <w:p>
            <w:r>
              <w:rPr>
                <w:b/>
                <w:bCs/>
              </w:rPr>
              <w:t xml:space="preserve">Closed</w:t>
            </w:r>
          </w:p>
        </w:tc>
        <w:tc>
          <w:tcPr>
            <w:shd w:fill="F5F5F5" w:val="clear"/>
          </w:tcPr>
          <w:p>
            <w:r>
              <w:t xml:space="preserve">Worked 30.09.2026 — see C-1140 reconciliation (A07-02)</w:t>
            </w:r>
          </w:p>
        </w:tc>
      </w:tr>
      <w:tr>
        <w:trPr>
          <w:tblHeader w:val="false"/>
        </w:trPr>
        <w:tc>
          <w:p>
            <w:r>
              <w:t xml:space="preserve">A06-03</w:t>
            </w:r>
          </w:p>
        </w:tc>
        <w:tc>
          <w:p>
            <w:r>
              <w:t xml:space="preserve">Piling completion confirmation</w:t>
            </w:r>
          </w:p>
        </w:tc>
        <w:tc>
          <w:p>
            <w:r>
              <w:t xml:space="preserve">PK / Kallio</w:t>
            </w:r>
          </w:p>
        </w:tc>
        <w:tc>
          <w:p>
            <w:r>
              <w:t xml:space="preserve">15.09.2026</w:t>
            </w:r>
          </w:p>
        </w:tc>
        <w:tc>
          <w:p>
            <w:r>
              <w:rPr>
                <w:b/>
                <w:bCs/>
              </w:rPr>
              <w:t xml:space="preserve">Closed</w:t>
            </w:r>
          </w:p>
        </w:tc>
        <w:tc>
          <w:p>
            <w:r>
              <w:t xml:space="preserve">DH1 11.09 — on programme; DH2 15.09 — on programme</w:t>
            </w:r>
          </w:p>
        </w:tc>
      </w:tr>
      <w:tr>
        <w:trPr>
          <w:tblHeader w:val="false"/>
        </w:trPr>
        <w:tc>
          <w:tcPr>
            <w:shd w:fill="F5F5F5" w:val="clear"/>
          </w:tcPr>
          <w:p>
            <w:r>
              <w:t xml:space="preserve">A06-04</w:t>
            </w:r>
          </w:p>
        </w:tc>
        <w:tc>
          <w:tcPr>
            <w:shd w:fill="F5F5F5" w:val="clear"/>
          </w:tcPr>
          <w:p>
            <w:r>
              <w:t xml:space="preserve">DH2 ground floor slab pour 1</w:t>
            </w:r>
          </w:p>
        </w:tc>
        <w:tc>
          <w:tcPr>
            <w:shd w:fill="F5F5F5" w:val="clear"/>
          </w:tcPr>
          <w:p>
            <w:r>
              <w:t xml:space="preserve">PK / Kallio</w:t>
            </w:r>
          </w:p>
        </w:tc>
        <w:tc>
          <w:tcPr>
            <w:shd w:fill="F5F5F5" w:val="clear"/>
          </w:tcPr>
          <w:p>
            <w:r>
              <w:t xml:space="preserve">22.09.2026</w:t>
            </w:r>
          </w:p>
        </w:tc>
        <w:tc>
          <w:tcPr>
            <w:shd w:fill="F5F5F5" w:val="clear"/>
          </w:tcPr>
          <w:p>
            <w:r>
              <w:rPr>
                <w:b/>
                <w:bCs/>
              </w:rPr>
              <w:t xml:space="preserve">Closed</w:t>
            </w:r>
          </w:p>
        </w:tc>
        <w:tc>
          <w:tcPr>
            <w:shd w:fill="F5F5F5" w:val="clear"/>
          </w:tcPr>
          <w:p>
            <w:r>
              <w:t xml:space="preserve">Poured 21.09.2026</w:t>
            </w:r>
          </w:p>
        </w:tc>
      </w:tr>
      <w:tr>
        <w:trPr>
          <w:tblHeader w:val="false"/>
        </w:trPr>
        <w:tc>
          <w:p>
            <w:r>
              <w:t xml:space="preserve">A06-05</w:t>
            </w:r>
          </w:p>
        </w:tc>
        <w:tc>
          <w:p>
            <w:r>
              <w:t xml:space="preserve">EI-004 L2 quotation</w:t>
            </w:r>
          </w:p>
        </w:tc>
        <w:tc>
          <w:p>
            <w:r>
              <w:t xml:space="preserve">JV / PMC</w:t>
            </w:r>
          </w:p>
        </w:tc>
        <w:tc>
          <w:p>
            <w:r>
              <w:t xml:space="preserve">15.09.2026</w:t>
            </w:r>
          </w:p>
        </w:tc>
        <w:tc>
          <w:p>
            <w:r>
              <w:t xml:space="preserve">Open</w:t>
            </w:r>
          </w:p>
        </w:tc>
        <w:tc>
          <w:p>
            <w:r>
              <w:t xml:space="preserve">Quotation in build-up; carry forward</w:t>
            </w:r>
          </w:p>
        </w:tc>
      </w:tr>
      <w:tr>
        <w:trPr>
          <w:tblHeader w:val="false"/>
        </w:trPr>
        <w:tc>
          <w:tcPr>
            <w:shd w:fill="F5F5F5" w:val="clear"/>
          </w:tcPr>
          <w:p>
            <w:r>
              <w:t xml:space="preserve">A06-06</w:t>
            </w:r>
          </w:p>
        </w:tc>
        <w:tc>
          <w:tcPr>
            <w:shd w:fill="F5F5F5" w:val="clear"/>
          </w:tcPr>
          <w:p>
            <w:r>
              <w:t xml:space="preserve">DH2 waterproofing inspection</w:t>
            </w:r>
          </w:p>
        </w:tc>
        <w:tc>
          <w:tcPr>
            <w:shd w:fill="F5F5F5" w:val="clear"/>
          </w:tcPr>
          <w:p>
            <w:r>
              <w:t xml:space="preserve">PK / Kallio + MN (QS)</w:t>
            </w:r>
          </w:p>
        </w:tc>
        <w:tc>
          <w:tcPr>
            <w:shd w:fill="F5F5F5" w:val="clear"/>
          </w:tcPr>
          <w:p>
            <w:r>
              <w:t xml:space="preserve">18.09.2026</w:t>
            </w:r>
          </w:p>
        </w:tc>
        <w:tc>
          <w:tcPr>
            <w:shd w:fill="F5F5F5" w:val="clear"/>
          </w:tcPr>
          <w:p>
            <w:r>
              <w:rPr>
                <w:b/>
                <w:bCs/>
              </w:rPr>
              <w:t xml:space="preserve">Disputed</w:t>
            </w:r>
          </w:p>
        </w:tc>
        <w:tc>
          <w:tcPr>
            <w:shd w:fill="F5F5F5" w:val="clear"/>
          </w:tcPr>
          <w:p>
            <w:r>
              <w:t xml:space="preserve">Kallio cert 100% via KMO-QC-0219 (UNWITNESSED); QS 90% — see NCR PDC-NCR-001 and Certificate Register</w:t>
            </w:r>
          </w:p>
        </w:tc>
      </w:tr>
      <w:tr>
        <w:trPr>
          <w:tblHeader w:val="false"/>
        </w:trPr>
        <w:tc>
          <w:p>
            <w:r>
              <w:t xml:space="preserve">A05-05</w:t>
            </w:r>
          </w:p>
        </w:tc>
        <w:tc>
          <w:p>
            <w:r>
              <w:t xml:space="preserve">Ilmatek recovery schedule</w:t>
            </w:r>
          </w:p>
        </w:tc>
        <w:tc>
          <w:p>
            <w:r>
              <w:t xml:space="preserve">Ilmatek / TL</w:t>
            </w:r>
          </w:p>
        </w:tc>
        <w:tc>
          <w:p>
            <w:r>
              <w:t xml:space="preserve">31.08.2026</w:t>
            </w:r>
          </w:p>
        </w:tc>
        <w:tc>
          <w:p>
            <w:r>
              <w:rPr>
                <w:b/>
                <w:bCs/>
              </w:rPr>
              <w:t xml:space="preserve">Open</w:t>
            </w:r>
          </w:p>
        </w:tc>
        <w:tc>
          <w:p>
            <w:r>
              <w:t xml:space="preserve">Not received; productivity record (P05/P06/P07) below plan; ILM-NOT-003 served 24.09 instead</w:t>
            </w:r>
          </w:p>
        </w:tc>
      </w:tr>
    </w:tbl>
    <w:p/>
    <w:p>
      <w:pPr>
        <w:pStyle w:val="Heading1"/>
        <w:pBdr>
          <w:bottom w:val="single" w:color="1F6FB2" w:sz="6"/>
        </w:pBdr>
        <w:spacing w:after="120" w:before="240"/>
      </w:pPr>
      <w:r>
        <w:rPr>
          <w:b/>
          <w:bCs/>
          <w:color w:val="0F2E4C"/>
        </w:rPr>
        <w:t xml:space="preserve">— 8.2 New for P07</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E4C" w:val="clear"/>
          </w:tcPr>
          <w:p>
            <w:pPr>
              <w:jc w:val="left"/>
            </w:pPr>
            <w:r>
              <w:rPr>
                <w:b/>
                <w:bCs/>
                <w:color w:val="FFFFFF"/>
              </w:rPr>
              <w:t xml:space="preserve">Ref</w:t>
            </w:r>
          </w:p>
        </w:tc>
        <w:tc>
          <w:tcPr>
            <w:shd w:fill="0F2E4C" w:val="clear"/>
          </w:tcPr>
          <w:p>
            <w:pPr>
              <w:jc w:val="left"/>
            </w:pPr>
            <w:r>
              <w:rPr>
                <w:b/>
                <w:bCs/>
                <w:color w:val="FFFFFF"/>
              </w:rPr>
              <w:t xml:space="preserve">Action</w:t>
            </w:r>
          </w:p>
        </w:tc>
        <w:tc>
          <w:tcPr>
            <w:shd w:fill="0F2E4C" w:val="clear"/>
          </w:tcPr>
          <w:p>
            <w:pPr>
              <w:jc w:val="left"/>
            </w:pPr>
            <w:r>
              <w:rPr>
                <w:b/>
                <w:bCs/>
                <w:color w:val="FFFFFF"/>
              </w:rPr>
              <w:t xml:space="preserve">Owner</w:t>
            </w:r>
          </w:p>
        </w:tc>
        <w:tc>
          <w:tcPr>
            <w:shd w:fill="0F2E4C" w:val="clear"/>
          </w:tcPr>
          <w:p>
            <w:pPr>
              <w:jc w:val="left"/>
            </w:pPr>
            <w:r>
              <w:rPr>
                <w:b/>
                <w:bCs/>
                <w:color w:val="FFFFFF"/>
              </w:rPr>
              <w:t xml:space="preserve">Due</w:t>
            </w:r>
          </w:p>
        </w:tc>
        <w:tc>
          <w:tcPr>
            <w:shd w:fill="0F2E4C" w:val="clear"/>
          </w:tcPr>
          <w:p>
            <w:pPr>
              <w:jc w:val="left"/>
            </w:pPr>
            <w:r>
              <w:rPr>
                <w:b/>
                <w:bCs/>
                <w:color w:val="FFFFFF"/>
              </w:rPr>
              <w:t xml:space="preserve">Notes</w:t>
            </w:r>
          </w:p>
        </w:tc>
      </w:tr>
      <w:tr>
        <w:trPr>
          <w:tblHeader w:val="false"/>
        </w:trPr>
        <w:tc>
          <w:p>
            <w:r>
              <w:t xml:space="preserve">A07-01</w:t>
            </w:r>
          </w:p>
        </w:tc>
        <w:tc>
          <w:p>
            <w:r>
              <w:t xml:space="preserve">Complete bay W4 DH2 waterproofing upstands</w:t>
            </w:r>
          </w:p>
        </w:tc>
        <w:tc>
          <w:p>
            <w:r>
              <w:t xml:space="preserve">PK / Kallio</w:t>
            </w:r>
          </w:p>
        </w:tc>
        <w:tc>
          <w:p>
            <w:r>
              <w:t xml:space="preserve">07.10.2026</w:t>
            </w:r>
          </w:p>
        </w:tc>
        <w:tc>
          <w:p>
            <w:r>
              <w:t xml:space="preserve">Required before pours 2–4; NCR PDC-NCR-001 issued</w:t>
            </w:r>
          </w:p>
        </w:tc>
      </w:tr>
      <w:tr>
        <w:trPr>
          <w:tblHeader w:val="false"/>
        </w:trPr>
        <w:tc>
          <w:tcPr>
            <w:shd w:fill="F5F5F5" w:val="clear"/>
          </w:tcPr>
          <w:p>
            <w:r>
              <w:t xml:space="preserve">A07-02</w:t>
            </w:r>
          </w:p>
        </w:tc>
        <w:tc>
          <w:tcPr>
            <w:shd w:fill="F5F5F5" w:val="clear"/>
          </w:tcPr>
          <w:p>
            <w:r>
              <w:t xml:space="preserve">C-1140 reconciliation (Kallio vs direct)</w:t>
            </w:r>
          </w:p>
        </w:tc>
        <w:tc>
          <w:tcPr>
            <w:shd w:fill="F5F5F5" w:val="clear"/>
          </w:tcPr>
          <w:p>
            <w:r>
              <w:t xml:space="preserve">PK / Kallio + commercial</w:t>
            </w:r>
          </w:p>
        </w:tc>
        <w:tc>
          <w:tcPr>
            <w:shd w:fill="F5F5F5" w:val="clear"/>
          </w:tcPr>
          <w:p>
            <w:r>
              <w:t xml:space="preserve">14.10.2026</w:t>
            </w:r>
          </w:p>
        </w:tc>
        <w:tc>
          <w:tcPr>
            <w:shd w:fill="F5F5F5" w:val="clear"/>
          </w:tcPr>
          <w:p>
            <w:r>
              <w:t xml:space="preserve">One liability, not two. CORRECTED figure: Kallio EUR 214,600, incurred EUR 152,800, diff EUR 61,800.</w:t>
            </w:r>
          </w:p>
        </w:tc>
      </w:tr>
      <w:tr>
        <w:trPr>
          <w:tblHeader w:val="false"/>
        </w:trPr>
        <w:tc>
          <w:p>
            <w:r>
              <w:t xml:space="preserve">A07-03</w:t>
            </w:r>
          </w:p>
        </w:tc>
        <w:tc>
          <w:p>
            <w:r>
              <w:t xml:space="preserve">Kallio PDC-SCH-001 Rev1 review (field-by-field)</w:t>
            </w:r>
          </w:p>
        </w:tc>
        <w:tc>
          <w:p>
            <w:r>
              <w:t xml:space="preserve">TL</w:t>
            </w:r>
          </w:p>
        </w:tc>
        <w:tc>
          <w:p>
            <w:r>
              <w:t xml:space="preserve">13.10.2026</w:t>
            </w:r>
          </w:p>
        </w:tc>
        <w:tc>
          <w:p>
            <w:r>
              <w:rPr>
                <w:b/>
                <w:bCs/>
              </w:rPr>
              <w:t xml:space="preserve">Closed (this report)</w:t>
            </w:r>
            <w:r>
              <w:t xml:space="preserve"> — see Kallio SCH rev1 change log sheet. 12 items: 4 REJECT, 4 ACCEPT, 4 NOTE</w:t>
            </w:r>
          </w:p>
        </w:tc>
      </w:tr>
      <w:tr>
        <w:trPr>
          <w:tblHeader w:val="false"/>
        </w:trPr>
        <w:tc>
          <w:tcPr>
            <w:shd w:fill="F5F5F5" w:val="clear"/>
          </w:tcPr>
          <w:p>
            <w:r>
              <w:t xml:space="preserve">A07-04</w:t>
            </w:r>
          </w:p>
        </w:tc>
        <w:tc>
          <w:tcPr>
            <w:shd w:fill="F5F5F5" w:val="clear"/>
          </w:tcPr>
          <w:p>
            <w:r>
              <w:t xml:space="preserve">Respond to ILM-NOT-003</w:t>
            </w:r>
          </w:p>
        </w:tc>
        <w:tc>
          <w:tcPr>
            <w:shd w:fill="F5F5F5" w:val="clear"/>
          </w:tcPr>
          <w:p>
            <w:r>
              <w:t xml:space="preserve">TL / contracts</w:t>
            </w:r>
          </w:p>
        </w:tc>
        <w:tc>
          <w:tcPr>
            <w:shd w:fill="F5F5F5" w:val="clear"/>
          </w:tcPr>
          <w:p>
            <w:r>
              <w:t xml:space="preserve">13.10.2026</w:t>
            </w:r>
          </w:p>
        </w:tc>
        <w:tc>
          <w:tcPr>
            <w:shd w:fill="F5F5F5" w:val="clear"/>
          </w:tcPr>
          <w:p>
            <w:r>
              <w:t xml:space="preserve">Reasoned position: PDC-SUB-005 Rev1 Cl. 1.3 (General flow-down) + Cl. 4.1 (EoT back-to-back) + Cl. 4.2 (concurrent delay apportionment). IL-1400 derived 67 wd to Section 1 (NOT a quoted baseline float — baseline has no float column). Deny on cost; deny on time.</w:t>
            </w:r>
          </w:p>
        </w:tc>
      </w:tr>
      <w:tr>
        <w:trPr>
          <w:tblHeader w:val="false"/>
        </w:trPr>
        <w:tc>
          <w:p>
            <w:r>
              <w:t xml:space="preserve">A07-05</w:t>
            </w:r>
          </w:p>
        </w:tc>
        <w:tc>
          <w:p>
            <w:r>
              <w:t xml:space="preserve">Issue hold-harmless response to PDC-LTR-PMC-014</w:t>
            </w:r>
          </w:p>
        </w:tc>
        <w:tc>
          <w:p>
            <w:r>
              <w:t xml:space="preserve">Contracts</w:t>
            </w:r>
          </w:p>
        </w:tc>
        <w:tc>
          <w:p>
            <w:r>
              <w:t xml:space="preserve">06.10.2026</w:t>
            </w:r>
          </w:p>
        </w:tc>
        <w:tc>
          <w:p>
            <w:r>
              <w:rPr>
                <w:b/>
                <w:bCs/>
              </w:rPr>
              <w:t xml:space="preserve">DRAFT prepared this period (PDC-LTR-001-021)</w:t>
            </w:r>
            <w:r>
              <w:t xml:space="preserve">; 14-day window closed 11.09.2026 — 19 days ago; modelled response by 31.10.2026. </w:t>
            </w:r>
            <w:r>
              <w:rPr>
                <w:b/>
                <w:bCs/>
              </w:rPr>
              <w:t xml:space="preserve">Operative PC is RevC — 28-day notice per SP-15; 20.2.2 reinstated in full; SP-7 apportionment regime.</w:t>
            </w:r>
          </w:p>
        </w:tc>
      </w:tr>
      <w:tr>
        <w:trPr>
          <w:tblHeader w:val="false"/>
        </w:trPr>
        <w:tc>
          <w:tcPr>
            <w:shd w:fill="F5F5F5" w:val="clear"/>
          </w:tcPr>
          <w:p>
            <w:r>
              <w:t xml:space="preserve">A07-06</w:t>
            </w:r>
          </w:p>
        </w:tc>
        <w:tc>
          <w:tcPr>
            <w:shd w:fill="F5F5F5" w:val="clear"/>
          </w:tcPr>
          <w:p>
            <w:r>
              <w:t xml:space="preserve">EI-005 quotation</w:t>
            </w:r>
          </w:p>
        </w:tc>
        <w:tc>
          <w:tcPr>
            <w:shd w:fill="F5F5F5" w:val="clear"/>
          </w:tcPr>
          <w:p>
            <w:r>
              <w:t xml:space="preserve">JV / PMC</w:t>
            </w:r>
          </w:p>
        </w:tc>
        <w:tc>
          <w:tcPr>
            <w:shd w:fill="F5F5F5" w:val="clear"/>
          </w:tcPr>
          <w:p>
            <w:r>
              <w:t xml:space="preserve">20.10.2026</w:t>
            </w:r>
          </w:p>
        </w:tc>
        <w:tc>
          <w:tcPr>
            <w:shd w:fill="F5F5F5" w:val="clear"/>
          </w:tcPr>
          <w:p>
            <w:r>
              <w:t xml:space="preserve">Per PDC-EI-005 Cl. 2; PDC-PC-001 RevC SP-9 / Sub-Clause 13.3.1 — interim valuation wording</w:t>
            </w:r>
          </w:p>
        </w:tc>
      </w:tr>
      <w:tr>
        <w:trPr>
          <w:tblHeader w:val="false"/>
        </w:trPr>
        <w:tc>
          <w:p>
            <w:r>
              <w:t xml:space="preserve">A07-07</w:t>
            </w:r>
          </w:p>
        </w:tc>
        <w:tc>
          <w:p>
            <w:r>
              <w:t xml:space="preserve">Cost recovery mechanism review (BAC vs CPI)</w:t>
            </w:r>
          </w:p>
        </w:tc>
        <w:tc>
          <w:p>
            <w:r>
              <w:t xml:space="preserve">Commercial / PMC</w:t>
            </w:r>
          </w:p>
        </w:tc>
        <w:tc>
          <w:p>
            <w:r>
              <w:t xml:space="preserve">20.10.2026</w:t>
            </w:r>
          </w:p>
        </w:tc>
        <w:tc>
          <w:p>
            <w:r>
              <w:t xml:space="preserve">Activity subset CPI 0.697 / EAC EUR 11.97M. Full BAC CPI 0.902 / EAC EUR 102.4M. Both bases flag Kallio cost concentration. Review contractual recovery options.</w:t>
            </w:r>
          </w:p>
        </w:tc>
      </w:tr>
      <w:tr>
        <w:trPr>
          <w:tblHeader w:val="false"/>
        </w:trPr>
        <w:tc>
          <w:tcPr>
            <w:shd w:fill="F5F5F5" w:val="clear"/>
          </w:tcPr>
          <w:p>
            <w:r>
              <w:t xml:space="preserve">A07-08</w:t>
            </w:r>
          </w:p>
        </w:tc>
        <w:tc>
          <w:tcPr>
            <w:shd w:fill="F5F5F5" w:val="clear"/>
          </w:tcPr>
          <w:p>
            <w:r>
              <w:t xml:space="preserve">P08 to report SV / CV / ETC explicitly</w:t>
            </w:r>
          </w:p>
        </w:tc>
        <w:tc>
          <w:tcPr>
            <w:shd w:fill="F5F5F5" w:val="clear"/>
          </w:tcPr>
          <w:p>
            <w:r>
              <w:t xml:space="preserve">PMC (planning)</w:t>
            </w:r>
          </w:p>
        </w:tc>
        <w:tc>
          <w:tcPr>
            <w:shd w:fill="F5F5F5" w:val="clear"/>
          </w:tcPr>
          <w:p>
            <w:r>
              <w:t xml:space="preserve">13.10.2026 (next report)</w:t>
            </w:r>
          </w:p>
        </w:tc>
        <w:tc>
          <w:tcPr>
            <w:shd w:fill="F5F5F5" w:val="clear"/>
          </w:tcPr>
          <w:p>
            <w:r>
              <w:t xml:space="preserve">SV/CV reported only in P05; ETC missing from P05/P06/P07. P08 should report all three.</w:t>
            </w:r>
          </w:p>
        </w:tc>
      </w:tr>
      <w:tr>
        <w:trPr>
          <w:tblHeader w:val="false"/>
        </w:trPr>
        <w:tc>
          <w:p>
            <w:r>
              <w:t xml:space="preserve">A07-09</w:t>
            </w:r>
          </w:p>
        </w:tc>
        <w:tc>
          <w:p>
            <w:r>
              <w:t xml:space="preserve">Confirm operative PC for P08 onwards</w:t>
            </w:r>
          </w:p>
        </w:tc>
        <w:tc>
          <w:p>
            <w:r>
              <w:t xml:space="preserve">PD / PMC</w:t>
            </w:r>
          </w:p>
        </w:tc>
        <w:tc>
          <w:p>
            <w:r>
              <w:t xml:space="preserve">13.10.2026</w:t>
            </w:r>
          </w:p>
        </w:tc>
        <w:tc>
          <w:p>
            <w:r>
              <w:t xml:space="preserve">P05–P07 cycle 4 was drafted on PDC-PC-001 RevB terms. P07 cycle 5 corrects to PDC-PC-001 RevC (FINAL, 24.02.2026). PD to confirm RevC is operative for all future reporting.</w:t>
            </w:r>
          </w:p>
        </w:tc>
      </w:tr>
    </w:tbl>
    <w:p/>
    <w:p>
      <w:pPr>
        <w:pStyle w:val="Heading1"/>
        <w:pBdr>
          <w:bottom w:val="single" w:color="1F6FB2" w:sz="6"/>
        </w:pBdr>
        <w:spacing w:after="120" w:before="240"/>
      </w:pPr>
      <w:r>
        <w:rPr>
          <w:b/>
          <w:bCs/>
          <w:color w:val="0F2E4C"/>
        </w:rPr>
        <w:t xml:space="preserve">9. Notes on the cycle and source discipline</w:t>
      </w:r>
    </w:p>
    <w:p>
      <w:pPr>
        <w:spacing w:after="120"/>
      </w:pPr>
      <w:r>
        <w:t xml:space="preserve">---</w:t>
      </w:r>
    </w:p>
    <w:p>
      <w:pPr>
        <w:pStyle w:val="ListParagraph"/>
        <w:numPr>
          <w:ilvl w:val="0"/>
          <w:numId w:val="1"/>
        </w:numPr>
      </w:pPr>
      <w:r>
        <w:t xml:space="preserve">This is the </w:t>
      </w:r>
      <w:r>
        <w:rPr>
          <w:b/>
          <w:bCs/>
        </w:rPr>
        <w:t xml:space="preserve">third cycle</w:t>
      </w:r>
      <w:r>
        <w:t xml:space="preserve"> of period reporting on Polaris DC-1 (P05 / P06 / P07). Same source-discipline standard as P05 and P06: every figure traceable to a document read; every clause reference traceable to the operative source clause; conflict log and risk-allocation lists maintained.</w:t>
      </w:r>
    </w:p>
    <w:p>
      <w:pPr>
        <w:pStyle w:val="ListParagraph"/>
        <w:numPr>
          <w:ilvl w:val="0"/>
          <w:numId w:val="1"/>
        </w:numPr>
      </w:pPr>
      <w:r>
        <w:rPr>
          <w:b/>
          <w:bCs/>
        </w:rPr>
        <w:t xml:space="preserve">P07 cycle 5 — operative PC corrected.</w:t>
      </w:r>
      <w:r>
        <w:t xml:space="preserve"> Following a final cross-check of every clause reference against the operative source documents, the operative PC was identified as </w:t>
      </w:r>
      <w:r>
        <w:rPr>
          <w:b/>
          <w:bCs/>
        </w:rPr>
        <w:t xml:space="preserve">PDC-PC-001 RevC (FINAL, 24.02.2026)</w:t>
      </w:r>
      <w:r>
        <w:t xml:space="preserve">, NOT RevB. RevB was the version I had in front of me when I drafted cycle 4; RevC is the version that supersedes it. </w:t>
      </w:r>
      <w:r>
        <w:rPr>
          <w:b/>
          <w:bCs/>
        </w:rPr>
        <w:t xml:space="preserve">All main-contract clause references in this report are now to RevC, not RevB.</w:t>
      </w:r>
      <w:r>
        <w:t xml:space="preserve"> The substantive changes from RevB to RevC are: SP-7 / Sub-Clause 8.5 — concurrent delay bar withdrawn, replaced by apportionment regime (Cost bar retained); SP-15 / Sub-Clause 20.2.1 — 28-day notice reinstated in full (RevB's 21-day modification withdrawn); SP-15 / Sub-Clause 20.2.2 — reinstated in full (Engineer's obligation to give notice of non-compliance); SP-9 / Sub-Clause 13.3.1 — interim valuation wording added; SP-12 / Sub-Clause 14.6 — set-off limited to actually-accrued Delay Damages; SP-5 / Sub-Clause 4.12 — reinstated in full; SP-2 / Sub-Clause 1.9 — reinstated in full; SP-3 / Sub-Clause 1.15 — reinstated with cap and carve-outs; SP-6 / Sub-Clause 5.1 — standard of reasonable skill, care and diligence (RevB absolute warranty withdrawn); SP-13 / Sub-Clause 14.9 — retention release on Section 1 / Section 4 Taking-Over Certificates; SP-17 / Sub-Clause 21.6 — Helsinki, English, 3 arbitrators; SP-16 / Sub-Clauses 21.1–21.4 — no DAAB.</w:t>
      </w:r>
    </w:p>
    <w:p>
      <w:pPr>
        <w:pStyle w:val="ListParagraph"/>
        <w:numPr>
          <w:ilvl w:val="0"/>
          <w:numId w:val="1"/>
        </w:numPr>
      </w:pPr>
      <w:r>
        <w:rPr>
          <w:b/>
          <w:bCs/>
        </w:rPr>
        <w:t xml:space="preserve">P07 cycle 4 — clause-reference corrections applied.</w:t>
      </w:r>
      <w:r>
        <w:t xml:space="preserve"> Following a final cross-check of every clause reference against the source documents, two subcontract clauses (PDC-SUB-005 Rev1 Cl. 8.3 and Cl. 4.7) were </w:t>
      </w:r>
      <w:r>
        <w:rPr>
          <w:b/>
          <w:bCs/>
        </w:rPr>
        <w:t xml:space="preserve">removed</w:t>
      </w:r>
      <w:r>
        <w:t xml:space="preserve"> because they do not exist in the subcontract. The back-to-back carve-out that was attributed to Cl. 8.3 actually lives in </w:t>
      </w:r>
      <w:r>
        <w:rPr>
          <w:b/>
          <w:bCs/>
        </w:rPr>
        <w:t xml:space="preserve">Cl. 1.3 (General flow-down)</w:t>
      </w:r>
      <w:r>
        <w:t xml:space="preserve"> and </w:t>
      </w:r>
      <w:r>
        <w:rPr>
          <w:b/>
          <w:bCs/>
        </w:rPr>
        <w:t xml:space="preserve">Cl. 4.1 (Extension of Time)</w:t>
      </w:r>
      <w:r>
        <w:t xml:space="preserve">; </w:t>
      </w:r>
      <w:r>
        <w:rPr>
          <w:b/>
          <w:bCs/>
        </w:rPr>
        <w:t xml:space="preserve">Cl. 4.2</w:t>
      </w:r>
      <w:r>
        <w:t xml:space="preserve"> carries the concurrent delay apportionment; </w:t>
      </w:r>
      <w:r>
        <w:rPr>
          <w:b/>
          <w:bCs/>
        </w:rPr>
        <w:t xml:space="preserve">Cl. 4.3</w:t>
      </w:r>
      <w:r>
        <w:t xml:space="preserve"> carries the 21-day notice period. The IL-1400 "67 wd of float to Section 1" figure is labelled as a </w:t>
      </w:r>
      <w:r>
        <w:rPr>
          <w:b/>
          <w:bCs/>
        </w:rPr>
        <w:t xml:space="preserve">derivation</w:t>
      </w:r>
      <w:r>
        <w:t xml:space="preserve"> from the baseline dates and durations, not a quoted baseline float; the Rev2 baseline has no float column.</w:t>
      </w:r>
    </w:p>
    <w:p>
      <w:pPr>
        <w:pStyle w:val="ListParagraph"/>
        <w:numPr>
          <w:ilvl w:val="0"/>
          <w:numId w:val="1"/>
        </w:numPr>
      </w:pPr>
      <w:r>
        <w:rPr>
          <w:b/>
          <w:bCs/>
        </w:rPr>
        <w:t xml:space="preserve">P07 cycle 3 — Time Series sheet and Charts sheet added.</w:t>
      </w:r>
      <w:r>
        <w:t xml:space="preserve"> Reported figures only (no back-fill). S-curve runs from project commencement (01.03.2026) to Section 1 completion (02.05.2027) and project close (Dec 2027).</w:t>
      </w:r>
    </w:p>
    <w:p>
      <w:pPr>
        <w:pStyle w:val="ListParagraph"/>
        <w:numPr>
          <w:ilvl w:val="0"/>
          <w:numId w:val="1"/>
        </w:numPr>
      </w:pPr>
      <w:r>
        <w:rPr>
          <w:b/>
          <w:bCs/>
        </w:rPr>
        <w:t xml:space="preserve">Two bases are used for EVM.</w:t>
      </w:r>
      <w:r>
        <w:t xml:space="preserve"> (a) Activity subset (BAC EUR 8.34M) — working basis for package-level management; (b) Full contract (BAC EUR 92.4M) — comparable to P05/P06 for the period-on-period trend. The AC is the same on both bases (EUR 7,757,800 from PDC-CVR-P07).</w:t>
      </w:r>
    </w:p>
    <w:p>
      <w:pPr>
        <w:pStyle w:val="ListParagraph"/>
        <w:numPr>
          <w:ilvl w:val="0"/>
          <w:numId w:val="1"/>
        </w:numPr>
      </w:pPr>
      <w:r>
        <w:rPr>
          <w:b/>
          <w:bCs/>
        </w:rPr>
        <w:t xml:space="preserve">No figure is invented.</w:t>
      </w:r>
      <w:r>
        <w:t xml:space="preserve"> Where the project documents have not been parsed end-to-end, the report states so and refers to the open action. The P07 EVM figures on the full BAC basis are derived approximations; the activity subset figures are exact against the source documents. Where the project source did not report a metric, the cell is empty rather than back-filled — A07-08 records this as an action for P08.</w:t>
      </w:r>
    </w:p>
    <w:p>
      <w:pPr>
        <w:pStyle w:val="ListParagraph"/>
        <w:numPr>
          <w:ilvl w:val="0"/>
          <w:numId w:val="1"/>
        </w:numPr>
      </w:pPr>
      <w:r>
        <w:rPr>
          <w:b/>
          <w:bCs/>
        </w:rPr>
        <w:t xml:space="preserve">The four live tensions this period are positioned as: (1) DH2 waterproofing — pay 90%, NCR raised, KMO-QC-0219 unwitnessed; (2) ILM-NOT-003 — reasoned deny under PDC-SUB-005 Rev1 Cl. 1.3 / 4.1 / 4.2 + PDC-PC-001 RevC SP-7; (3) Kallio PDC-SCH-001 Rev1 — do not accept, 12-item field-by-field review in this report; (4) 110 kV — hold-harmless draft prepared, no response issued within 14-day window, substance owed by 31.10.</w:t>
      </w:r>
      <w:r>
        <w:t xml:space="preserve"> Of these, (4) is the one the Contractor owns and the one the commercial team needs to know about first.</w:t>
      </w:r>
    </w:p>
    <w:p>
      <w:pPr>
        <w:pStyle w:val="ListParagraph"/>
        <w:numPr>
          <w:ilvl w:val="0"/>
          <w:numId w:val="1"/>
        </w:numPr>
      </w:pPr>
      <w:r>
        <w:rPr>
          <w:b/>
          <w:bCs/>
        </w:rPr>
        <w:t xml:space="preserve">Material finding for the board</w:t>
      </w:r>
      <w:r>
        <w:t xml:space="preserve">: Activity subset CPI 0.697 / EAC EUR 11.97M (vs BAC EUR 8.34M); Full BAC CPI 0.902 / EAC EUR 102.4M (vs BAC EUR 92.4M). Both bases flag the Kallio cost over-run. The cost recovery mechanism review (A07-07) is the recommended action.</w:t>
      </w:r>
    </w:p>
    <w:p>
      <w:pPr>
        <w:pStyle w:val="Heading1"/>
        <w:pBdr>
          <w:bottom w:val="single" w:color="1F6FB2" w:sz="6"/>
        </w:pBdr>
        <w:spacing w:after="120" w:before="240"/>
      </w:pPr>
      <w:r>
        <w:rPr>
          <w:b/>
          <w:bCs/>
          <w:color w:val="0F2E4C"/>
        </w:rPr>
        <w:t xml:space="preserve">10. Document register</w:t>
      </w:r>
    </w:p>
    <w:p>
      <w:pPr>
        <w:spacing w:after="120"/>
      </w:pPr>
      <w:r>
        <w:t xml:space="preserve">---</w:t>
      </w:r>
    </w:p>
    <w:p>
      <w:pPr>
        <w:spacing w:after="120"/>
      </w:pPr>
      <w:r>
        <w:rPr>
          <w:i/>
          <w:iCs/>
        </w:rPr>
        <w:t xml:space="preserve">End of report. Issued for PD approval and onward transmission to PMC and ER record. Companion files: Progress &amp; EVM Workbook (xlsx) — 12 sheets incl. Time Series and Charts; Board Deck (pptx) — 12 slides incl. 3 trend charts; Hold-harmless Letter (DRAFT, md); NCR (DRAFT, 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Ref</w:t>
            </w:r>
          </w:p>
        </w:tc>
        <w:tc>
          <w:tcPr>
            <w:shd w:fill="0F2E4C" w:val="clear"/>
          </w:tcPr>
          <w:p>
            <w:pPr>
              <w:jc w:val="left"/>
            </w:pPr>
            <w:r>
              <w:rPr>
                <w:b/>
                <w:bCs/>
                <w:color w:val="FFFFFF"/>
              </w:rPr>
              <w:t xml:space="preserve">Document</w:t>
            </w:r>
          </w:p>
        </w:tc>
        <w:tc>
          <w:tcPr>
            <w:shd w:fill="0F2E4C" w:val="clear"/>
          </w:tcPr>
          <w:p>
            <w:pPr>
              <w:jc w:val="left"/>
            </w:pPr>
            <w:r>
              <w:rPr>
                <w:b/>
                <w:bCs/>
                <w:color w:val="FFFFFF"/>
              </w:rPr>
              <w:t xml:space="preserve">Date</w:t>
            </w:r>
          </w:p>
        </w:tc>
        <w:tc>
          <w:tcPr>
            <w:shd w:fill="0F2E4C" w:val="clear"/>
          </w:tcPr>
          <w:p>
            <w:pPr>
              <w:jc w:val="left"/>
            </w:pPr>
            <w:r>
              <w:rPr>
                <w:b/>
                <w:bCs/>
                <w:color w:val="FFFFFF"/>
              </w:rPr>
              <w:t xml:space="preserve">Source</w:t>
            </w:r>
          </w:p>
        </w:tc>
      </w:tr>
      <w:tr>
        <w:trPr>
          <w:tblHeader w:val="false"/>
        </w:trPr>
        <w:tc>
          <w:p>
            <w:r>
              <w:t xml:space="preserve">PDC-MIN-P07</w:t>
            </w:r>
          </w:p>
        </w:tc>
        <w:tc>
          <w:p>
            <w:r>
              <w:t xml:space="preserve">Site Progress Meeting No.7 minutes</w:t>
            </w:r>
          </w:p>
        </w:tc>
        <w:tc>
          <w:p>
            <w:r>
              <w:t xml:space="preserve">29.09.2026</w:t>
            </w:r>
          </w:p>
        </w:tc>
        <w:tc>
          <w:p>
            <w:r>
              <w:t xml:space="preserve">11 Meeting Minutes</w:t>
            </w:r>
          </w:p>
        </w:tc>
      </w:tr>
      <w:tr>
        <w:trPr>
          <w:tblHeader w:val="false"/>
        </w:trPr>
        <w:tc>
          <w:tcPr>
            <w:shd w:fill="F5F5F5" w:val="clear"/>
          </w:tcPr>
          <w:p>
            <w:r>
              <w:t xml:space="preserve">PDC-LAB-P07</w:t>
            </w:r>
          </w:p>
        </w:tc>
        <w:tc>
          <w:tcPr>
            <w:shd w:fill="F5F5F5" w:val="clear"/>
          </w:tcPr>
          <w:p>
            <w:r>
              <w:t xml:space="preserve">Site Labour, Plant and QS Measure Sep 2026</w:t>
            </w:r>
          </w:p>
        </w:tc>
        <w:tc>
          <w:tcPr>
            <w:shd w:fill="F5F5F5" w:val="clear"/>
          </w:tcPr>
          <w:p>
            <w:r>
              <w:t xml:space="preserve">30.09.2026</w:t>
            </w:r>
          </w:p>
        </w:tc>
        <w:tc>
          <w:tcPr>
            <w:shd w:fill="F5F5F5" w:val="clear"/>
          </w:tcPr>
          <w:p>
            <w:r>
              <w:t xml:space="preserve">12 Progress Reports</w:t>
            </w:r>
          </w:p>
        </w:tc>
      </w:tr>
      <w:tr>
        <w:trPr>
          <w:tblHeader w:val="false"/>
        </w:trPr>
        <w:tc>
          <w:p>
            <w:r>
              <w:t xml:space="preserve">PDC-CVR-P07</w:t>
            </w:r>
          </w:p>
        </w:tc>
        <w:tc>
          <w:p>
            <w:r>
              <w:t xml:space="preserve">Cost-Value Reconciliation to 30 Sep 2026</w:t>
            </w:r>
          </w:p>
        </w:tc>
        <w:tc>
          <w:p>
            <w:r>
              <w:t xml:space="preserve">30.09.2026</w:t>
            </w:r>
          </w:p>
        </w:tc>
        <w:tc>
          <w:p>
            <w:r>
              <w:t xml:space="preserve">12 Progress Reports</w:t>
            </w:r>
          </w:p>
        </w:tc>
      </w:tr>
      <w:tr>
        <w:trPr>
          <w:tblHeader w:val="false"/>
        </w:trPr>
        <w:tc>
          <w:tcPr>
            <w:shd w:fill="F5F5F5" w:val="clear"/>
          </w:tcPr>
          <w:p>
            <w:r>
              <w:t xml:space="preserve">PDC-PROG-001-P07</w:t>
            </w:r>
          </w:p>
        </w:tc>
        <w:tc>
          <w:tcPr>
            <w:shd w:fill="F5F5F5" w:val="clear"/>
          </w:tcPr>
          <w:p>
            <w:r>
              <w:t xml:space="preserve">Kallio TP-001 Progress Return</w:t>
            </w:r>
          </w:p>
        </w:tc>
        <w:tc>
          <w:tcPr>
            <w:shd w:fill="F5F5F5" w:val="clear"/>
          </w:tcPr>
          <w:p>
            <w:r>
              <w:t xml:space="preserve">22–26.09.2026</w:t>
            </w:r>
          </w:p>
        </w:tc>
        <w:tc>
          <w:tcPr>
            <w:shd w:fill="F5F5F5" w:val="clear"/>
          </w:tcPr>
          <w:p>
            <w:r>
              <w:t xml:space="preserve">10.2 TP-001 Kallio</w:t>
            </w:r>
          </w:p>
        </w:tc>
      </w:tr>
      <w:tr>
        <w:trPr>
          <w:tblHeader w:val="false"/>
        </w:trPr>
        <w:tc>
          <w:p>
            <w:r>
              <w:t xml:space="preserve">PDC-PROG-005-P07</w:t>
            </w:r>
          </w:p>
        </w:tc>
        <w:tc>
          <w:p>
            <w:r>
              <w:t xml:space="preserve">Ilmatek TP-005 Progress Return (incl. ILM-NOT-003)</w:t>
            </w:r>
          </w:p>
        </w:tc>
        <w:tc>
          <w:p>
            <w:r>
              <w:t xml:space="preserve">24.09.2026</w:t>
            </w:r>
          </w:p>
        </w:tc>
        <w:tc>
          <w:p>
            <w:r>
              <w:t xml:space="preserve">10.1 TP-005 Ilmatek</w:t>
            </w:r>
          </w:p>
        </w:tc>
      </w:tr>
      <w:tr>
        <w:trPr>
          <w:tblHeader w:val="false"/>
        </w:trPr>
        <w:tc>
          <w:tcPr>
            <w:shd w:fill="F5F5F5" w:val="clear"/>
          </w:tcPr>
          <w:p>
            <w:r>
              <w:t xml:space="preserve">PDC-PROG-006-P07</w:t>
            </w:r>
          </w:p>
        </w:tc>
        <w:tc>
          <w:tcPr>
            <w:shd w:fill="F5F5F5" w:val="clear"/>
          </w:tcPr>
          <w:p>
            <w:r>
              <w:t xml:space="preserve">Voima TP-006 Progress Return</w:t>
            </w:r>
          </w:p>
        </w:tc>
        <w:tc>
          <w:tcPr>
            <w:shd w:fill="F5F5F5" w:val="clear"/>
          </w:tcPr>
          <w:p>
            <w:r>
              <w:t xml:space="preserve">26.09.2026</w:t>
            </w:r>
          </w:p>
        </w:tc>
        <w:tc>
          <w:tcPr>
            <w:shd w:fill="F5F5F5" w:val="clear"/>
          </w:tcPr>
          <w:p>
            <w:r>
              <w:t xml:space="preserve">10.6 TP-006 Voima</w:t>
            </w:r>
          </w:p>
        </w:tc>
      </w:tr>
      <w:tr>
        <w:trPr>
          <w:tblHeader w:val="false"/>
        </w:trPr>
        <w:tc>
          <w:p>
            <w:r>
              <w:t xml:space="preserve">PDC-PROG-008-P07</w:t>
            </w:r>
          </w:p>
        </w:tc>
        <w:tc>
          <w:p>
            <w:r>
              <w:t xml:space="preserve">Lehtinen TP-008 Progress Return</w:t>
            </w:r>
          </w:p>
        </w:tc>
        <w:tc>
          <w:p>
            <w:r>
              <w:t xml:space="preserve">26.09.2026</w:t>
            </w:r>
          </w:p>
        </w:tc>
        <w:tc>
          <w:p>
            <w:r>
              <w:t xml:space="preserve">10.3 TP-008 Lehtinen</w:t>
            </w:r>
          </w:p>
        </w:tc>
      </w:tr>
      <w:tr>
        <w:trPr>
          <w:tblHeader w:val="false"/>
        </w:trPr>
        <w:tc>
          <w:tcPr>
            <w:shd w:fill="F5F5F5" w:val="clear"/>
          </w:tcPr>
          <w:p>
            <w:r>
              <w:t xml:space="preserve">PDC-SCH-001 Rev1</w:t>
            </w:r>
          </w:p>
        </w:tc>
        <w:tc>
          <w:tcPr>
            <w:shd w:fill="F5F5F5" w:val="clear"/>
          </w:tcPr>
          <w:p>
            <w:r>
              <w:t xml:space="preserve">Kallio Revised Programme</w:t>
            </w:r>
          </w:p>
        </w:tc>
        <w:tc>
          <w:tcPr>
            <w:shd w:fill="F5F5F5" w:val="clear"/>
          </w:tcPr>
          <w:p>
            <w:r>
              <w:t xml:space="preserve">22.09.2026</w:t>
            </w:r>
          </w:p>
        </w:tc>
        <w:tc>
          <w:tcPr>
            <w:shd w:fill="F5F5F5" w:val="clear"/>
          </w:tcPr>
          <w:p>
            <w:r>
              <w:t xml:space="preserve">10.2 TP-001 Kallio</w:t>
            </w:r>
          </w:p>
        </w:tc>
      </w:tr>
      <w:tr>
        <w:trPr>
          <w:tblHeader w:val="false"/>
        </w:trPr>
        <w:tc>
          <w:p>
            <w:r>
              <w:t xml:space="preserve">PDC-SCH-001 Rev0</w:t>
            </w:r>
          </w:p>
        </w:tc>
        <w:tc>
          <w:p>
            <w:r>
              <w:t xml:space="preserve">Kallio Baseline Programme</w:t>
            </w:r>
          </w:p>
        </w:tc>
        <w:tc>
          <w:p>
            <w:r>
              <w:t xml:space="preserve">2026 (baseline)</w:t>
            </w:r>
          </w:p>
        </w:tc>
        <w:tc>
          <w:p>
            <w:r>
              <w:t xml:space="preserve">02 Programme and Planning</w:t>
            </w:r>
          </w:p>
        </w:tc>
      </w:tr>
      <w:tr>
        <w:trPr>
          <w:tblHeader w:val="false"/>
        </w:trPr>
        <w:tc>
          <w:tcPr>
            <w:shd w:fill="F5F5F5" w:val="clear"/>
          </w:tcPr>
          <w:p>
            <w:r>
              <w:t xml:space="preserve">PDC-COST-001-EI004</w:t>
            </w:r>
          </w:p>
        </w:tc>
        <w:tc>
          <w:tcPr>
            <w:shd w:fill="F5F5F5" w:val="clear"/>
          </w:tcPr>
          <w:p>
            <w:r>
              <w:t xml:space="preserve">Kallio EI-004 Cost Submission (TOTAL EUR 214,600)</w:t>
            </w:r>
          </w:p>
        </w:tc>
        <w:tc>
          <w:tcPr>
            <w:shd w:fill="F5F5F5" w:val="clear"/>
          </w:tcPr>
          <w:p>
            <w:r>
              <w:t xml:space="preserve">16.09.2026</w:t>
            </w:r>
          </w:p>
        </w:tc>
        <w:tc>
          <w:tcPr>
            <w:shd w:fill="F5F5F5" w:val="clear"/>
          </w:tcPr>
          <w:p>
            <w:r>
              <w:t xml:space="preserve">10.2 TP-001 Kallio</w:t>
            </w:r>
          </w:p>
        </w:tc>
      </w:tr>
      <w:tr>
        <w:trPr>
          <w:tblHeader w:val="false"/>
        </w:trPr>
        <w:tc>
          <w:p>
            <w:r>
              <w:t xml:space="preserve">PDC-EI-005</w:t>
            </w:r>
          </w:p>
        </w:tc>
        <w:tc>
          <w:p>
            <w:r>
              <w:t xml:space="preserve">Main Gate Security Instruction</w:t>
            </w:r>
          </w:p>
        </w:tc>
        <w:tc>
          <w:p>
            <w:r>
              <w:t xml:space="preserve">22.09.2026</w:t>
            </w:r>
          </w:p>
        </w:tc>
        <w:tc>
          <w:p>
            <w:r>
              <w:t xml:space="preserve">10.4 ER</w:t>
            </w:r>
          </w:p>
        </w:tc>
      </w:tr>
      <w:tr>
        <w:trPr>
          <w:tblHeader w:val="false"/>
        </w:trPr>
        <w:tc>
          <w:tcPr>
            <w:shd w:fill="F5F5F5" w:val="clear"/>
          </w:tcPr>
          <w:p>
            <w:r>
              <w:t xml:space="preserve">PDC-LTR-PMC-014</w:t>
            </w:r>
          </w:p>
        </w:tc>
        <w:tc>
          <w:tcPr>
            <w:shd w:fill="F5F5F5" w:val="clear"/>
          </w:tcPr>
          <w:p>
            <w:r>
              <w:t xml:space="preserve">110 kV Revised Energisation</w:t>
            </w:r>
          </w:p>
        </w:tc>
        <w:tc>
          <w:tcPr>
            <w:shd w:fill="F5F5F5" w:val="clear"/>
          </w:tcPr>
          <w:p>
            <w:r>
              <w:t xml:space="preserve">28.08.2026</w:t>
            </w:r>
          </w:p>
        </w:tc>
        <w:tc>
          <w:tcPr>
            <w:shd w:fill="F5F5F5" w:val="clear"/>
          </w:tcPr>
          <w:p>
            <w:r>
              <w:t xml:space="preserve">10.4 ER</w:t>
            </w:r>
          </w:p>
        </w:tc>
      </w:tr>
      <w:tr>
        <w:trPr>
          <w:tblHeader w:val="false"/>
        </w:trPr>
        <w:tc>
          <w:p>
            <w:r>
              <w:t xml:space="preserve">PDC-EI-004</w:t>
            </w:r>
          </w:p>
        </w:tc>
        <w:tc>
          <w:p>
            <w:r>
              <w:t xml:space="preserve">NW Zone Made Ground Instruction</w:t>
            </w:r>
          </w:p>
        </w:tc>
        <w:tc>
          <w:p>
            <w:r>
              <w:t xml:space="preserve">05.08.2026</w:t>
            </w:r>
          </w:p>
        </w:tc>
        <w:tc>
          <w:p>
            <w:r>
              <w:t xml:space="preserve">10.4 ER</w:t>
            </w:r>
          </w:p>
        </w:tc>
      </w:tr>
      <w:tr>
        <w:trPr>
          <w:tblHeader w:val="false"/>
        </w:trPr>
        <w:tc>
          <w:tcPr>
            <w:shd w:fill="F5F5F5" w:val="clear"/>
          </w:tcPr>
          <w:p>
            <w:r>
              <w:rPr>
                <w:b/>
                <w:bCs/>
              </w:rPr>
              <w:t xml:space="preserve">PDC-SUB-005 Rev1</w:t>
            </w:r>
          </w:p>
        </w:tc>
        <w:tc>
          <w:tcPr>
            <w:shd w:fill="F5F5F5" w:val="clear"/>
          </w:tcPr>
          <w:p>
            <w:r>
              <w:rPr>
                <w:b/>
                <w:bCs/>
              </w:rPr>
              <w:t xml:space="preserve">Ilmatek Subcontract Rev1</w:t>
            </w:r>
            <w:r>
              <w:t xml:space="preserve"> — Cl. 1.3 (General flow-down); Cl. 4.1 (EoT back-to-back); Cl. 4.2 (Concurrent delay); Cl. 4.3 (21-day notice); Cl. 6.1 (monthly application)</w:t>
            </w:r>
          </w:p>
        </w:tc>
        <w:tc>
          <w:tcPr>
            <w:shd w:fill="F5F5F5" w:val="clear"/>
          </w:tcPr>
          <w:p>
            <w:r>
              <w:t xml:space="preserve">03.08.2026</w:t>
            </w:r>
          </w:p>
        </w:tc>
        <w:tc>
          <w:tcPr>
            <w:shd w:fill="F5F5F5" w:val="clear"/>
          </w:tcPr>
          <w:p>
            <w:r>
              <w:t xml:space="preserve">10.1 TP-005 Ilmatek</w:t>
            </w:r>
          </w:p>
        </w:tc>
      </w:tr>
      <w:tr>
        <w:trPr>
          <w:tblHeader w:val="false"/>
        </w:trPr>
        <w:tc>
          <w:p>
            <w:r>
              <w:rPr>
                <w:b/>
                <w:bCs/>
              </w:rPr>
              <w:t xml:space="preserve">PDC-SCH-005 Rev2</w:t>
            </w:r>
          </w:p>
        </w:tc>
        <w:tc>
          <w:p>
            <w:r>
              <w:rPr>
                <w:b/>
                <w:bCs/>
              </w:rPr>
              <w:t xml:space="preserve">Ilmatek Programme Rev 2</w:t>
            </w:r>
            <w:r>
              <w:t xml:space="preserve"> — IL-1400 baseline (70 wd, 2026-06-15 → 2026-10-12, predecessor IL-1311); IL-1510 (20 wd, 2027-01-29 → 2027-02-25, predecessors IL-1210 + IL-1400); no float column</w:t>
            </w:r>
          </w:p>
        </w:tc>
        <w:tc>
          <w:p>
            <w:r>
              <w:t xml:space="preserve">2026</w:t>
            </w:r>
          </w:p>
        </w:tc>
        <w:tc>
          <w:p>
            <w:r>
              <w:t xml:space="preserve">10.1 TP-005 Ilmatek</w:t>
            </w:r>
          </w:p>
        </w:tc>
      </w:tr>
      <w:tr>
        <w:trPr>
          <w:tblHeader w:val="false"/>
        </w:trPr>
        <w:tc>
          <w:tcPr>
            <w:shd w:fill="F5F5F5" w:val="clear"/>
          </w:tcPr>
          <w:p>
            <w:r>
              <w:rPr>
                <w:b/>
                <w:bCs/>
              </w:rPr>
              <w:t xml:space="preserve">PDC-PC-001 RevC (FINAL)</w:t>
            </w:r>
          </w:p>
        </w:tc>
        <w:tc>
          <w:tcPr>
            <w:shd w:fill="F5F5F5" w:val="clear"/>
          </w:tcPr>
          <w:p>
            <w:r>
              <w:rPr>
                <w:b/>
                <w:bCs/>
              </w:rPr>
              <w:t xml:space="preserve">FIDIC Yellow Book 2017 Particular Conditions — operative</w:t>
            </w:r>
            <w:r>
              <w:t xml:space="preserve"> — SP-2 (Cl. 1.9 reinstated); SP-3 (Cl. 1.15 reinstated with cap); SP-5 (Cl. 4.12 reinstated); SP-6 (Cl. 5.1 standard of skill/care/diligence); </w:t>
            </w:r>
            <w:r>
              <w:rPr>
                <w:b/>
                <w:bCs/>
              </w:rPr>
              <w:t xml:space="preserve">SP-7 (Cl. 8.5 apportionment regime; Cost bar retained)</w:t>
            </w:r>
            <w:r>
              <w:t xml:space="preserve">; SP-8 (Cl. 8.8 Delay Damages); </w:t>
            </w:r>
            <w:r>
              <w:rPr>
                <w:b/>
                <w:bCs/>
              </w:rPr>
              <w:t xml:space="preserve">SP-9 (Cl. 13.3.1 interim valuation)</w:t>
            </w:r>
            <w:r>
              <w:t xml:space="preserve">; SP-10 (Cl. 13.7 cost adjustment); SP-11 (Cl. 14.2 advance payment); </w:t>
            </w:r>
            <w:r>
              <w:rPr>
                <w:b/>
                <w:bCs/>
              </w:rPr>
              <w:t xml:space="preserve">SP-12 (Cl. 14.6 set-off limited to actually-accrued Delay Damages)</w:t>
            </w:r>
            <w:r>
              <w:t xml:space="preserve">; </w:t>
            </w:r>
            <w:r>
              <w:rPr>
                <w:b/>
                <w:bCs/>
              </w:rPr>
              <w:t xml:space="preserve">SP-13 (Cl. 14.9 retention release on Section 1 / Section 4 Taking-Over Certificates)</w:t>
            </w:r>
            <w:r>
              <w:t xml:space="preserve">; SP-14 (Cl. 18.1 Exceptional Events reinstated); </w:t>
            </w:r>
            <w:r>
              <w:rPr>
                <w:b/>
                <w:bCs/>
              </w:rPr>
              <w:t xml:space="preserve">SP-15 (Cl. 20.2.1 28-day notice reinstated; Cl. 20.2.2 reinstated in full)</w:t>
            </w:r>
            <w:r>
              <w:t xml:space="preserve">; SP-16 (no DAAB); SP-17 (Cl. 21.6 arbitration — Helsinki, English, 3 arbitrators). </w:t>
            </w:r>
            <w:r>
              <w:rPr>
                <w:b/>
                <w:bCs/>
              </w:rPr>
              <w:t xml:space="preserve">RevC supersedes RevA (06.02.2026) and RevB (06.02.2026). Contractor's letter NB-PDC-031 of 21.02.2026 records acceptance on RevC.</w:t>
            </w:r>
          </w:p>
        </w:tc>
        <w:tc>
          <w:tcPr>
            <w:shd w:fill="F5F5F5" w:val="clear"/>
          </w:tcPr>
          <w:p>
            <w:r>
              <w:t xml:space="preserve">24.02.2026</w:t>
            </w:r>
          </w:p>
        </w:tc>
        <w:tc>
          <w:tcPr>
            <w:shd w:fill="F5F5F5" w:val="clear"/>
          </w:tcPr>
          <w:p>
            <w:r>
              <w:t xml:space="preserve">01 Contract and Commercial</w:t>
            </w:r>
          </w:p>
        </w:tc>
      </w:tr>
      <w:tr>
        <w:trPr>
          <w:tblHeader w:val="false"/>
        </w:trPr>
        <w:tc>
          <w:p>
            <w:r>
              <w:t xml:space="preserve">KMO-QC-0207</w:t>
            </w:r>
          </w:p>
        </w:tc>
        <w:tc>
          <w:p>
            <w:r>
              <w:t xml:space="preserve">DH2 waterproofing cert W1+W2 (witnessed)</w:t>
            </w:r>
          </w:p>
        </w:tc>
        <w:tc>
          <w:p>
            <w:r>
              <w:t xml:space="preserve">20.08.2026</w:t>
            </w:r>
          </w:p>
        </w:tc>
        <w:tc>
          <w:p>
            <w:r>
              <w:t xml:space="preserve">Per PDC-PROG-001-P06</w:t>
            </w:r>
          </w:p>
        </w:tc>
      </w:tr>
      <w:tr>
        <w:trPr>
          <w:tblHeader w:val="false"/>
        </w:trPr>
        <w:tc>
          <w:tcPr>
            <w:shd w:fill="F5F5F5" w:val="clear"/>
          </w:tcPr>
          <w:p>
            <w:r>
              <w:t xml:space="preserve">KMO-QC-0219</w:t>
            </w:r>
          </w:p>
        </w:tc>
        <w:tc>
          <w:tcPr>
            <w:shd w:fill="F5F5F5" w:val="clear"/>
          </w:tcPr>
          <w:p>
            <w:r>
              <w:t xml:space="preserve">DH2 waterproofing cert W3+W4 (UNWITNESSED)</w:t>
            </w:r>
          </w:p>
        </w:tc>
        <w:tc>
          <w:tcPr>
            <w:shd w:fill="F5F5F5" w:val="clear"/>
          </w:tcPr>
          <w:p>
            <w:r>
              <w:t xml:space="preserve">20.09.2026</w:t>
            </w:r>
          </w:p>
        </w:tc>
        <w:tc>
          <w:tcPr>
            <w:shd w:fill="F5F5F5" w:val="clear"/>
          </w:tcPr>
          <w:p>
            <w:r>
              <w:t xml:space="preserve">Per PDC-PROG-001-P07</w:t>
            </w:r>
          </w:p>
        </w:tc>
      </w:tr>
      <w:tr>
        <w:trPr>
          <w:tblHeader w:val="false"/>
        </w:trPr>
        <w:tc>
          <w:p>
            <w:r>
              <w:t xml:space="preserve">Polaris</w:t>
            </w:r>
            <w:r>
              <w:rPr>
                <w:i/>
                <w:iCs/>
              </w:rPr>
              <w:t xml:space="preserve">DC1</w:t>
            </w:r>
            <w:r>
              <w:t xml:space="preserve">P05</w:t>
            </w:r>
            <w:r>
              <w:rPr>
                <w:i/>
                <w:iCs/>
              </w:rPr>
              <w:t xml:space="preserve">Progress</w:t>
            </w:r>
            <w:r>
              <w:t xml:space="preserve">and_EVM.xlsx</w:t>
            </w:r>
          </w:p>
        </w:tc>
        <w:tc>
          <w:p>
            <w:r>
              <w:t xml:space="preserve">P05 EVM workbook (BAC EUR 92.4M, SPI 0.98, CPI 0.859, EAC EUR 107,514,938)</w:t>
            </w:r>
          </w:p>
        </w:tc>
        <w:tc>
          <w:p>
            <w:r>
              <w:t xml:space="preserve">31.07.2026</w:t>
            </w:r>
          </w:p>
        </w:tc>
        <w:tc>
          <w:p>
            <w:r>
              <w:t xml:space="preserve">12.5 P05 Progress Reports</w:t>
            </w:r>
          </w:p>
        </w:tc>
      </w:tr>
      <w:tr>
        <w:trPr>
          <w:tblHeader w:val="false"/>
        </w:trPr>
        <w:tc>
          <w:tcPr>
            <w:shd w:fill="F5F5F5" w:val="clear"/>
          </w:tcPr>
          <w:p>
            <w:r>
              <w:t xml:space="preserve">Polaris</w:t>
            </w:r>
            <w:r>
              <w:rPr>
                <w:i/>
                <w:iCs/>
              </w:rPr>
              <w:t xml:space="preserve">DC1</w:t>
            </w:r>
            <w:r>
              <w:t xml:space="preserve">P06</w:t>
            </w:r>
            <w:r>
              <w:rPr>
                <w:i/>
                <w:iCs/>
              </w:rPr>
              <w:t xml:space="preserve">Progress</w:t>
            </w:r>
            <w:r>
              <w:t xml:space="preserve">and_EVM.xlsx</w:t>
            </w:r>
          </w:p>
        </w:tc>
        <w:tc>
          <w:tcPr>
            <w:shd w:fill="F5F5F5" w:val="clear"/>
          </w:tcPr>
          <w:p>
            <w:r>
              <w:t xml:space="preserve">P06 EVM workbook (BAC EUR 92.4M, SPI 1.03 indicative, CPI 0.94 indicative, EAC EUR 97.9M indicative)</w:t>
            </w:r>
          </w:p>
        </w:tc>
        <w:tc>
          <w:tcPr>
            <w:shd w:fill="F5F5F5" w:val="clear"/>
          </w:tcPr>
          <w:p>
            <w:r>
              <w:t xml:space="preserve">31.08.2026</w:t>
            </w:r>
          </w:p>
        </w:tc>
        <w:tc>
          <w:tcPr>
            <w:shd w:fill="F5F5F5" w:val="clear"/>
          </w:tcPr>
          <w:p>
            <w:r>
              <w:t xml:space="preserve">AI</w:t>
            </w:r>
            <w:r>
              <w:rPr>
                <w:i/>
                <w:iCs/>
              </w:rPr>
              <w:t xml:space="preserve">Outputs/Scheduler</w:t>
            </w:r>
            <w:r>
              <w:t xml:space="preserve">Chat/NordBuild</w:t>
            </w:r>
          </w:p>
        </w:tc>
      </w:tr>
      <w:tr>
        <w:trPr>
          <w:tblHeader w:val="false"/>
        </w:trPr>
        <w:tc>
          <w:p>
            <w:r>
              <w:t xml:space="preserve">PDC-LTR-001-021</w:t>
            </w:r>
          </w:p>
        </w:tc>
        <w:tc>
          <w:p>
            <w:r>
              <w:t xml:space="preserve">Hold-harmless response to PDC-LTR-PMC-014 </w:t>
            </w:r>
            <w:r>
              <w:rPr>
                <w:b/>
                <w:bCs/>
              </w:rPr>
              <w:t xml:space="preserve">DRAFT</w:t>
            </w:r>
          </w:p>
        </w:tc>
        <w:tc>
          <w:p>
            <w:r>
              <w:t xml:space="preserve">06.10.2026</w:t>
            </w:r>
          </w:p>
        </w:tc>
        <w:tc>
          <w:p>
            <w:r>
              <w:t xml:space="preserve">To issue under separate cover</w:t>
            </w:r>
          </w:p>
        </w:tc>
      </w:tr>
      <w:tr>
        <w:trPr>
          <w:tblHeader w:val="false"/>
        </w:trPr>
        <w:tc>
          <w:tcPr>
            <w:shd w:fill="F5F5F5" w:val="clear"/>
          </w:tcPr>
          <w:p>
            <w:r>
              <w:t xml:space="preserve">PDC-NCR-001</w:t>
            </w:r>
          </w:p>
        </w:tc>
        <w:tc>
          <w:tcPr>
            <w:shd w:fill="F5F5F5" w:val="clear"/>
          </w:tcPr>
          <w:p>
            <w:r>
              <w:t xml:space="preserve">DH2 W4 Waterproofing NCR </w:t>
            </w:r>
            <w:r>
              <w:rPr>
                <w:b/>
                <w:bCs/>
              </w:rPr>
              <w:t xml:space="preserve">DRAFT</w:t>
            </w:r>
          </w:p>
        </w:tc>
        <w:tc>
          <w:tcPr>
            <w:shd w:fill="F5F5F5" w:val="clear"/>
          </w:tcPr>
          <w:p>
            <w:r>
              <w:t xml:space="preserve">06.10.2026</w:t>
            </w:r>
          </w:p>
        </w:tc>
        <w:tc>
          <w:tcPr>
            <w:shd w:fill="F5F5F5" w:val="clear"/>
          </w:tcPr>
          <w:p>
            <w:r>
              <w:t xml:space="preserve">To issue to Kallio package</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C1C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2026-08-10T23:18:29.515Z</dcterms:created>
  <dcterms:modified xsi:type="dcterms:W3CDTF">2026-08-10T23:18:29.515Z</dcterms:modified>
</cp:coreProperties>
</file>

<file path=docProps/custom.xml><?xml version="1.0" encoding="utf-8"?>
<Properties xmlns="http://schemas.openxmlformats.org/officeDocument/2006/custom-properties" xmlns:vt="http://schemas.openxmlformats.org/officeDocument/2006/docPropsVTypes"/>
</file>