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0F2E4C"/>
        </w:rPr>
        <w:t xml:space="preserve">FILE NOTE — RESPONSE STRATEGY, PDC-LTR-PMC-025 (DETERMINATION)</w:t>
      </w:r>
    </w:p>
    <w:p>
      <w:pPr>
        <w:spacing w:after="120"/>
      </w:pPr>
      <w:r>
        <w:rPr>
          <w:b/>
          <w:bCs/>
        </w:rPr>
        <w:t xml:space="preserve">For:</w:t>
      </w:r>
      <w:r>
        <w:t xml:space="preserve"> SBI Commercial Director (J. Korhonen) </w:t>
      </w:r>
      <w:r>
        <w:rPr>
          <w:b/>
          <w:bCs/>
        </w:rPr>
        <w:t xml:space="preserve">From:</w:t>
      </w:r>
      <w:r>
        <w:t xml:space="preserve"> SBI Claims Team </w:t>
      </w:r>
      <w:r>
        <w:rPr>
          <w:b/>
          <w:bCs/>
        </w:rPr>
        <w:t xml:space="preserve">Subject:</w:t>
      </w:r>
      <w:r>
        <w:t xml:space="preserve"> How we respond to the Engineer's determination on the 110 kV claim (PDC-CLM-001) and the EI-007 interim valuation </w:t>
      </w:r>
      <w:r>
        <w:rPr>
          <w:b/>
          <w:bCs/>
        </w:rPr>
        <w:t xml:space="preserve">Status:</w:t>
      </w:r>
      <w:r>
        <w:t xml:space="preserve"> Internal — for review and sign-off before issue </w:t>
      </w:r>
      <w:r>
        <w:rPr>
          <w:b/>
          <w:bCs/>
        </w:rPr>
        <w:t xml:space="preserve">Date:</w:t>
      </w:r>
      <w:r>
        <w:t xml:space="preserve"> 28 January 2027</w:t>
      </w:r>
    </w:p>
    <w:p>
      <w:pPr>
        <w:spacing w:after="120"/>
      </w:pPr>
      <w:r>
        <w:t xml:space="preserve">---</w:t>
      </w:r>
    </w:p>
    <w:p>
      <w:pPr>
        <w:pStyle w:val="Heading1"/>
        <w:pBdr>
          <w:bottom w:val="single" w:color="1F6FB2" w:sz="6"/>
        </w:pBdr>
        <w:spacing w:after="120" w:before="240"/>
      </w:pPr>
      <w:r>
        <w:rPr>
          <w:b/>
          <w:bCs/>
          <w:color w:val="0F2E4C"/>
        </w:rPr>
        <w:t xml:space="preserve">1. Headline</w:t>
      </w:r>
    </w:p>
    <w:p>
      <w:pPr>
        <w:spacing w:after="120"/>
      </w:pPr>
      <w:r>
        <w:t xml:space="preserve">We will send a measured letter to the Engineer under PDC-LTR-005-013 that:</w:t>
      </w:r>
    </w:p>
    <w:p>
      <w:pPr>
        <w:spacing w:after="120"/>
      </w:pPr>
      <w:r>
        <w:t xml:space="preserve">This letter, if signed, will be a </w:t>
      </w:r>
      <w:r>
        <w:rPr>
          <w:b/>
          <w:bCs/>
        </w:rPr>
        <w:t xml:space="preserve">Notice of Dissatisfaction under Cl 3.7.5</w:t>
      </w:r>
      <w:r>
        <w:t xml:space="preserve"> in respect of </w:t>
      </w:r>
      <w:r>
        <w:rPr>
          <w:b/>
          <w:bCs/>
        </w:rPr>
        <w:t xml:space="preserve">both</w:t>
      </w:r>
      <w:r>
        <w:t xml:space="preserve"> the 9 wd EOT cut and the EI-007 EUR 12,000 cut. We accept the EUR 6,800 cut in terms.</w:t>
      </w:r>
    </w:p>
    <w:p>
      <w:pPr>
        <w:pStyle w:val="ListParagraph"/>
        <w:numPr>
          <w:ilvl w:val="0"/>
          <w:numId w:val="1"/>
        </w:numPr>
      </w:pPr>
      <w:r>
        <w:rPr>
          <w:b/>
          <w:bCs/>
        </w:rPr>
        <w:t xml:space="preserve">Pushes back on the 9 wd EOT cut</w:t>
      </w:r>
      <w:r>
        <w:t xml:space="preserve"> — the main prize. The Engineer has mis-identified the activity the L4 slip bites on (says ST-1310; the contemporaneous record says ST-1300, with 55 wd float baseline / 85 wd float scenario) and has applied a fixed-arithmetic 1:1 set-off rather than the "fair and reasonable" apportionment required by SP-7. The 9 wd slip is fully absorbed within ST-1300's float and does not bite on completion. The apportionment should be </w:t>
      </w:r>
      <w:r>
        <w:rPr>
          <w:b/>
          <w:bCs/>
        </w:rPr>
        <w:t xml:space="preserve">0 wd</w:t>
      </w:r>
      <w:r>
        <w:t xml:space="preserve">, giving the full </w:t>
      </w:r>
      <w:r>
        <w:rPr>
          <w:b/>
          <w:bCs/>
        </w:rPr>
        <w:t xml:space="preserve">30 wd EOT</w:t>
      </w:r>
      <w:r>
        <w:t xml:space="preserve"> we asked for.</w:t>
      </w:r>
    </w:p>
    <w:p>
      <w:pPr>
        <w:pStyle w:val="ListParagraph"/>
        <w:numPr>
          <w:ilvl w:val="0"/>
          <w:numId w:val="1"/>
        </w:numPr>
      </w:pPr>
      <w:r>
        <w:rPr>
          <w:b/>
          <w:bCs/>
        </w:rPr>
        <w:t xml:space="preserve">Concedes the EUR 6,800 temp-power cut</w:t>
      </w:r>
      <w:r>
        <w:t xml:space="preserve"> cleanly. The IPC-09 extract confirms INV-SBI-2216 was certified at EUR 6,800 under TW.04. The Engineer is right. We say so.</w:t>
      </w:r>
    </w:p>
    <w:p>
      <w:pPr>
        <w:pStyle w:val="ListParagraph"/>
        <w:numPr>
          <w:ilvl w:val="0"/>
          <w:numId w:val="1"/>
        </w:numPr>
      </w:pPr>
      <w:r>
        <w:rPr>
          <w:b/>
          <w:bCs/>
        </w:rPr>
        <w:t xml:space="preserve">NODs on the EI-007 EUR 12,000 cut</w:t>
      </w:r>
      <w:r>
        <w:t xml:space="preserve"> AND asks for the priced-Bill rate build-up. The cut is inadequately reasoned (no clause, no priced-Bill line, no build-up) and we do not accept under-reasoned determinations as final by silence on a 18-month job. The NOD is a procedural protection; if the Engineer produces a sound methodology within 14 days, the Contractor accepts and the NOD on Head B goes nowhere. If the Engineer produces no methodology, or produces one that does not support the cut, the NOD preserves the right to refer the EUR 12,000 to the DAB.</w:t>
      </w:r>
    </w:p>
    <w:p>
      <w:pPr>
        <w:pStyle w:val="ListParagraph"/>
        <w:numPr>
          <w:ilvl w:val="0"/>
          <w:numId w:val="1"/>
        </w:numPr>
      </w:pPr>
      <w:r>
        <w:rPr>
          <w:b/>
          <w:bCs/>
        </w:rPr>
        <w:t xml:space="preserve">Restates our quantum</w:t>
      </w:r>
      <w:r>
        <w:t xml:space="preserve"> at EUR 146,380 (EUR 134,780 prolongation on 30 wd × EUR 4,492.68 + EUR 11,600 cost-incurred heads the Engineer accepts), accepting the EUR 6,800 cut by silence.</w:t>
      </w:r>
    </w:p>
    <w:p>
      <w:pPr>
        <w:pStyle w:val="Heading1"/>
        <w:pBdr>
          <w:bottom w:val="single" w:color="1F6FB2" w:sz="6"/>
        </w:pBdr>
        <w:spacing w:after="120" w:before="240"/>
      </w:pPr>
      <w:r>
        <w:rPr>
          <w:b/>
          <w:bCs/>
          <w:color w:val="0F2E4C"/>
        </w:rPr>
        <w:t xml:space="preserve">2. Process — the NOD deadline</w:t>
      </w:r>
    </w:p>
    <w:p>
      <w:pPr>
        <w:spacing w:after="120"/>
      </w:pPr>
      <w:r>
        <w:t xml:space="preserve">If we give no NOD within 28 days of receipt, Cl 3.7.5 second paragraph says the determination "shall be deemed to have been accepted by both Parties and shall be final and binding on both Parties."</w:t>
      </w:r>
    </w:p>
    <w:p>
      <w:pPr>
        <w:spacing w:after="120"/>
      </w:pPr>
      <w:r>
        <w:t xml:space="preserve">The deadline is </w:t>
      </w:r>
      <w:r>
        <w:rPr>
          <w:b/>
          <w:bCs/>
        </w:rPr>
        <w:t xml:space="preserve">12.02.2027</w:t>
      </w:r>
      <w:r>
        <w:t xml:space="preserve">. The letter is dated 09.02.2027 and must be in the Engineer's hands that day. We must send by recorded delivery or hand-deliver with a receipt and not rely on postal service.</w:t>
      </w:r>
    </w:p>
    <w:p>
      <w:pPr>
        <w:spacing w:after="120"/>
      </w:pPr>
      <w:r>
        <w:rPr>
          <w:b/>
          <w:bCs/>
        </w:rPr>
        <w:t xml:space="preserve">A reservation is not a NOD.</w:t>
      </w:r>
      <w:r>
        <w:t xml:space="preserve"> Cl 3.7.5 is a one-shot, take-it-or-leave-it election: give a NOD within 28 days, or the determination becomes final and binding on every head. There is no mechanism in Cl 3.7.5 for "we reserve our position pending further information" — you either NOD or you accept. The letter therefore NODs on both the 9 wd EOT cut AND the EI-007 EUR 12,000 cut, asks for the methodology as evidence the Contractor will consider, and accepts the EUR 6,800 temp-power cut in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2E4C" w:val="clear"/>
          </w:tcPr>
          <w:p>
            <w:pPr>
              <w:jc w:val="left"/>
            </w:pPr>
            <w:r>
              <w:rPr>
                <w:b/>
                <w:bCs/>
                <w:color w:val="FFFFFF"/>
              </w:rPr>
              <w:t xml:space="preserve">Event</w:t>
            </w:r>
          </w:p>
        </w:tc>
        <w:tc>
          <w:tcPr>
            <w:shd w:fill="0F2E4C" w:val="clear"/>
          </w:tcPr>
          <w:p>
            <w:pPr>
              <w:jc w:val="left"/>
            </w:pPr>
            <w:r>
              <w:rPr>
                <w:b/>
                <w:bCs/>
                <w:color w:val="FFFFFF"/>
              </w:rPr>
              <w:t xml:space="preserve">Date</w:t>
            </w:r>
          </w:p>
        </w:tc>
        <w:tc>
          <w:tcPr>
            <w:shd w:fill="0F2E4C" w:val="clear"/>
          </w:tcPr>
          <w:p>
            <w:pPr>
              <w:jc w:val="left"/>
            </w:pPr>
            <w:r>
              <w:rPr>
                <w:b/>
                <w:bCs/>
                <w:color w:val="FFFFFF"/>
              </w:rPr>
              <w:t xml:space="preserve">Source</w:t>
            </w:r>
          </w:p>
        </w:tc>
      </w:tr>
      <w:tr>
        <w:trPr>
          <w:tblHeader w:val="false"/>
        </w:trPr>
        <w:tc>
          <w:p>
            <w:r>
              <w:t xml:space="preserve">PDC-LTR-PMC-025 dated</w:t>
            </w:r>
          </w:p>
        </w:tc>
        <w:tc>
          <w:p>
            <w:r>
              <w:t xml:space="preserve">14.01.2027</w:t>
            </w:r>
          </w:p>
        </w:tc>
        <w:tc>
          <w:p>
            <w:r>
              <w:t xml:space="preserve">PDC-LTR-PMC-025, header</w:t>
            </w:r>
          </w:p>
        </w:tc>
      </w:tr>
      <w:tr>
        <w:trPr>
          <w:tblHeader w:val="false"/>
        </w:trPr>
        <w:tc>
          <w:tcPr>
            <w:shd w:fill="F5F5F5" w:val="clear"/>
          </w:tcPr>
          <w:p>
            <w:r>
              <w:t xml:space="preserve">PDC-LTR-PMC-025 received</w:t>
            </w:r>
          </w:p>
        </w:tc>
        <w:tc>
          <w:tcPr>
            <w:shd w:fill="F5F5F5" w:val="clear"/>
          </w:tcPr>
          <w:p>
            <w:r>
              <w:t xml:space="preserve">15.01.2027</w:t>
            </w:r>
          </w:p>
        </w:tc>
        <w:tc>
          <w:tcPr>
            <w:shd w:fill="F5F5F5" w:val="clear"/>
          </w:tcPr>
          <w:p>
            <w:r>
              <w:t xml:space="preserve">PDC-REC-P11 Correspondence Register</w:t>
            </w:r>
          </w:p>
        </w:tc>
      </w:tr>
      <w:tr>
        <w:trPr>
          <w:tblHeader w:val="false"/>
        </w:trPr>
        <w:tc>
          <w:p>
            <w:r>
              <w:t xml:space="preserve">Cl 3.7.5 NOD deadline (28 days from receipt)</w:t>
            </w:r>
          </w:p>
        </w:tc>
        <w:tc>
          <w:p>
            <w:r>
              <w:rPr>
                <w:b/>
                <w:bCs/>
              </w:rPr>
              <w:t xml:space="preserve">12.02.2027</w:t>
            </w:r>
          </w:p>
        </w:tc>
        <w:tc>
          <w:p>
            <w:r>
              <w:t xml:space="preserve">PDC-CX-011 (operative text of Cl 3.7.5, paragraph 2)</w:t>
            </w:r>
          </w:p>
        </w:tc>
      </w:tr>
    </w:tbl>
    <w:p/>
    <w:p>
      <w:pPr>
        <w:pStyle w:val="Heading1"/>
        <w:pBdr>
          <w:bottom w:val="single" w:color="1F6FB2" w:sz="6"/>
        </w:pBdr>
        <w:spacing w:after="120" w:before="240"/>
      </w:pPr>
      <w:r>
        <w:rPr>
          <w:b/>
          <w:bCs/>
          <w:color w:val="0F2E4C"/>
        </w:rPr>
        <w:t xml:space="preserve">3. What we push back on, what we accept</w:t>
      </w:r>
    </w:p>
    <w:p>
      <w:pPr>
        <w:pStyle w:val="Heading1"/>
        <w:pBdr>
          <w:bottom w:val="single" w:color="1F6FB2" w:sz="6"/>
        </w:pBdr>
        <w:spacing w:after="120" w:before="240"/>
      </w:pPr>
      <w:r>
        <w:rPr>
          <w:b/>
          <w:bCs/>
          <w:color w:val="0F2E4C"/>
        </w:rPr>
        <w:t xml:space="preserve">— 3.1 We push back on the 9 wd concurrent-delay cut (EOT)</w:t>
      </w:r>
    </w:p>
    <w:p>
      <w:pPr>
        <w:spacing w:after="120"/>
      </w:pPr>
      <w:r>
        <w:rPr>
          <w:b/>
          <w:bCs/>
        </w:rPr>
        <w:t xml:space="preserve">The Engineer's position (PDC-LTR-PMC-025, Section 1):</w:t>
      </w:r>
    </w:p>
    <w:p>
      <w:pPr>
        <w:spacing w:after="120"/>
      </w:pPr>
      <w:r>
        <w:rPr>
          <w:b/>
          <w:bCs/>
        </w:rPr>
        <w:t xml:space="preserve">Why we push back:</w:t>
      </w:r>
    </w:p>
    <w:p>
      <w:pPr>
        <w:spacing w:after="120"/>
      </w:pPr>
      <w:r>
        <w:t xml:space="preserve">(a) </w:t>
      </w:r>
      <w:r>
        <w:rPr>
          <w:b/>
          <w:bCs/>
        </w:rPr>
        <w:t xml:space="preserve">Activity mis-identification.</w:t>
      </w:r>
      <w:r>
        <w:t xml:space="preserve"> ST-1310 is the L4 fit-out commencement activity, downstream of the L4 handover. The 9 wd slip is on </w:t>
      </w:r>
      <w:r>
        <w:rPr>
          <w:b/>
          <w:bCs/>
        </w:rPr>
        <w:t xml:space="preserve">ST-1300</w:t>
      </w:r>
      <w:r>
        <w:t xml:space="preserve"> (L4 structural handover). The Engineer's determination has referred to ST-1310 throughout.</w:t>
      </w:r>
    </w:p>
    <w:p>
      <w:pPr>
        <w:spacing w:after="120"/>
      </w:pPr>
      <w:r>
        <w:rPr>
          <w:i/>
          <w:iCs/>
        </w:rPr>
        <w:t xml:space="preserve">Source:</w:t>
      </w:r>
      <w:r>
        <w:t xml:space="preserve"> PDC-PROG-P09, sheet "110 kV Impact Window", row 1; PDC-CLM-001 §3.3 (the claim narrative built from PDC-PROG-P09); PDC-REC-P11 TIA Extract — "Affected activity" row.</w:t>
      </w:r>
    </w:p>
    <w:p>
      <w:pPr>
        <w:spacing w:after="120"/>
      </w:pPr>
      <w:r>
        <w:t xml:space="preserve">(b) </w:t>
      </w:r>
      <w:r>
        <w:rPr>
          <w:b/>
          <w:bCs/>
        </w:rPr>
        <w:t xml:space="preserve">Float position not engaged with.</w:t>
      </w:r>
      <w:r>
        <w:t xml:space="preserve"> The Engineer says "does not accept that the L4 delay is non-critical" without giving reasons. The contemporaneous record is unambiguous: ST-1300 carries </w:t>
      </w:r>
      <w:r>
        <w:rPr>
          <w:b/>
          <w:bCs/>
        </w:rPr>
        <w:t xml:space="preserve">55 wd float (baseline) / 85 wd float (scenario)</w:t>
      </w:r>
      <w:r>
        <w:t xml:space="preserve"> per the TIA extract in PDC-REC-P11. The 9 wd slip is fully absorbed within ST-1300's float. It does not contribute to project-completion delay.</w:t>
      </w:r>
    </w:p>
    <w:p>
      <w:pPr>
        <w:spacing w:after="120"/>
      </w:pPr>
      <w:r>
        <w:rPr>
          <w:i/>
          <w:iCs/>
        </w:rPr>
        <w:t xml:space="preserve">Source:</w:t>
      </w:r>
      <w:r>
        <w:t xml:space="preserve"> PDC-REC-P11 TIA Extract, "Float Position" row; PDC-CLM-001 §3.4 and §3.7; PDC-PROG-P09, sheet "Critical Path — Nov 2026", and Concurrent Delay Record (row C-01).</w:t>
      </w:r>
    </w:p>
    <w:p>
      <w:pPr>
        <w:spacing w:after="120"/>
      </w:pPr>
      <w:r>
        <w:t xml:space="preserve">(c) </w:t>
      </w:r>
      <w:r>
        <w:rPr>
          <w:b/>
          <w:bCs/>
        </w:rPr>
        <w:t xml:space="preserve">SP-7 is not a fixed-arithmetic rule.</w:t>
      </w:r>
      <w:r>
        <w:t xml:space="preserve"> The file note on the operative text of SP-7 (the Particular Conditions amendment) records SP-7 as requiring a "fair and reasonable" apportionment of concurrent delay. The Engineer has applied a 1:1 set-off (30 − 9 = 21) without engaging with the float position or the apportionment principle. The right analysis on the records: the L4 slip is wholly within float and does not bite on completion; the apportionment is </w:t>
      </w:r>
      <w:r>
        <w:rPr>
          <w:b/>
          <w:bCs/>
        </w:rPr>
        <w:t xml:space="preserve">0 wd</w:t>
      </w:r>
      <w:r>
        <w:t xml:space="preserve">, not 9 wd.</w:t>
      </w:r>
    </w:p>
    <w:p>
      <w:pPr>
        <w:spacing w:after="120"/>
      </w:pPr>
      <w:r>
        <w:rPr>
          <w:i/>
          <w:iCs/>
        </w:rPr>
        <w:t xml:space="preserve">Source:</w:t>
      </w:r>
      <w:r>
        <w:t xml:space="preserve"> PDC-PC-001 Rev C Particular Conditions, SP-7 (operative text reproduced in PDC-CX-009 paragraph 5; SP-7 of the executed Rev C is to the same effect).</w:t>
      </w:r>
    </w:p>
    <w:p>
      <w:pPr>
        <w:spacing w:after="120"/>
      </w:pPr>
      <w:r>
        <w:rPr>
          <w:b/>
          <w:bCs/>
        </w:rPr>
        <w:t xml:space="preserve">Restated EOT claim: 30 wd</w:t>
      </w:r>
      <w:r>
        <w:t xml:space="preserve"> (i.e. EUR 134,780 prolongation at the agreed EUR 4,492.68/wd rate).</w:t>
      </w:r>
    </w:p>
    <w:p>
      <w:pPr>
        <w:pBdr>
          <w:left w:val="single" w:color="C8842A" w:sz="12" w:space="12"/>
        </w:pBdr>
        <w:ind w:left="360"/>
      </w:pPr>
      <w:r>
        <w:rPr>
          <w:i/>
          <w:iCs/>
          <w:color w:val="6B7280"/>
        </w:rPr>
        <w:t xml:space="preserve">"The Contractor's own Concurrent Delay Record discloses that the L4 structural handover by TP-001 Kallio was 9 working days late and that this delay affected activity ST-1310 … The Contractor's Time Impact Analysis is noted. The Engineer does not accept that the L4 delay is non-critical."</w:t>
      </w:r>
    </w:p>
    <w:p>
      <w:pPr>
        <w:pStyle w:val="Heading1"/>
        <w:pBdr>
          <w:bottom w:val="single" w:color="1F6FB2" w:sz="6"/>
        </w:pBdr>
        <w:spacing w:after="120" w:before="240"/>
      </w:pPr>
      <w:r>
        <w:rPr>
          <w:b/>
          <w:bCs/>
          <w:color w:val="0F2E4C"/>
        </w:rPr>
        <w:t xml:space="preserve">— 3.2 We accept the EUR 6,800 temp-power cut (cost)</w:t>
      </w:r>
    </w:p>
    <w:p>
      <w:pPr>
        <w:spacing w:after="120"/>
      </w:pPr>
      <w:r>
        <w:rPr>
          <w:b/>
          <w:bCs/>
        </w:rPr>
        <w:t xml:space="preserve">The Engineer's position (Section 3):</w:t>
      </w:r>
    </w:p>
    <w:p>
      <w:pPr>
        <w:spacing w:after="120"/>
      </w:pPr>
      <w:r>
        <w:rPr>
          <w:b/>
          <w:bCs/>
        </w:rPr>
        <w:t xml:space="preserve">Why we accept:</w:t>
      </w:r>
    </w:p>
    <w:p>
      <w:pPr>
        <w:spacing w:after="120"/>
      </w:pPr>
      <w:r>
        <w:t xml:space="preserve">The IPC-09 extract in PDC-REC-P11 records INV-SBI-2216 certified at EUR 6,800 under TW.04. The Engineer is right. We say so on the record; the credit is clean and the cost does not double-count. The principle is cost discipline, and fighting this would cost us credibility on the 9 wd argument.</w:t>
      </w:r>
    </w:p>
    <w:p>
      <w:pPr>
        <w:spacing w:after="120"/>
      </w:pPr>
      <w:r>
        <w:rPr>
          <w:b/>
          <w:bCs/>
        </w:rPr>
        <w:t xml:space="preserve">Quantum effect:</w:t>
      </w:r>
      <w:r>
        <w:t xml:space="preserve"> EUR 6,800 reduction; accepted without protest.</w:t>
      </w:r>
    </w:p>
    <w:p>
      <w:pPr>
        <w:pBdr>
          <w:left w:val="single" w:color="C8842A" w:sz="12" w:space="12"/>
        </w:pBdr>
        <w:ind w:left="360"/>
      </w:pPr>
      <w:r>
        <w:rPr>
          <w:i/>
          <w:iCs/>
          <w:color w:val="6B7280"/>
        </w:rPr>
        <w:t xml:space="preserve">"Already certified. This sum was included in Interim Payment Certificate No. 9 (IPC-09, 30.11.2026) under the head 'temporary works — power'. To certify it again would be a double payment."</w:t>
      </w:r>
    </w:p>
    <w:p>
      <w:pPr>
        <w:pStyle w:val="Heading1"/>
        <w:pBdr>
          <w:bottom w:val="single" w:color="1F6FB2" w:sz="6"/>
        </w:pBdr>
        <w:spacing w:after="120" w:before="240"/>
      </w:pPr>
      <w:r>
        <w:rPr>
          <w:b/>
          <w:bCs/>
          <w:color w:val="0F2E4C"/>
        </w:rPr>
        <w:t xml:space="preserve">— 3.3 We NOD on the EI-007 EUR 12,000 cut AND ask for the methodology</w:t>
      </w:r>
    </w:p>
    <w:p>
      <w:pPr>
        <w:spacing w:after="120"/>
      </w:pPr>
      <w:r>
        <w:rPr>
          <w:b/>
          <w:bCs/>
        </w:rPr>
        <w:t xml:space="preserve">The Engineer's position (Section 5):</w:t>
      </w:r>
    </w:p>
    <w:p>
      <w:pPr>
        <w:spacing w:after="120"/>
      </w:pPr>
      <w:r>
        <w:rPr>
          <w:b/>
          <w:bCs/>
        </w:rPr>
        <w:t xml:space="preserve">Why we NOD and ask, not concede:</w:t>
      </w:r>
    </w:p>
    <w:p>
      <w:pPr>
        <w:spacing w:after="120"/>
      </w:pPr>
      <w:r>
        <w:t xml:space="preserve">The Engineer cites no clause and no priced-Bill line. The instruction EI-007 §4 itself excludes commissioning from the priced Bill — which suggests the Engineer is treating supervision/site management inconsistently with his own treatment of commissioning. The priced Bill Section A carries preliminaries time-related across the contract (EUR 612,000 over 82 weeks); Section F rates for F.03 / F.06 / F.09 (CRAH units, chilled water pipework, heat-recovery pipework) do not name site management as a separate cost head. We have a reasonable basis to dispute the cut, but the dispute is not worth more than the cost of arguing.</w:t>
      </w:r>
    </w:p>
    <w:p>
      <w:pPr>
        <w:spacing w:after="120"/>
      </w:pPr>
      <w:r>
        <w:rPr>
          <w:b/>
          <w:bCs/>
        </w:rPr>
        <w:t xml:space="preserve">Our posture:</w:t>
      </w:r>
      <w:r>
        <w:t xml:space="preserve"> NOD on the cut as inadequately reasoned, and simultaneously ask for the priced-Bill rate build-up. The NOD preserves the right to refer the EUR 12,000 to the DAB if the methodology the Engineer produces does not support the cut. If the methodology does support the cut (e.g. a clear Section A reference), the Contractor accepts and the NOD on Head B goes nowhere.</w:t>
      </w:r>
    </w:p>
    <w:p>
      <w:pPr>
        <w:spacing w:after="120"/>
      </w:pPr>
      <w:r>
        <w:rPr>
          <w:b/>
          <w:bCs/>
        </w:rPr>
        <w:t xml:space="preserve">Quantum effect:</w:t>
      </w:r>
      <w:r>
        <w:t xml:space="preserve"> EUR 12,000 cut disputed under NOD; methodology requested within 14 days.</w:t>
      </w:r>
    </w:p>
    <w:p>
      <w:pPr>
        <w:pBdr>
          <w:left w:val="single" w:color="C8842A" w:sz="12" w:space="12"/>
        </w:pBdr>
        <w:ind w:left="360"/>
      </w:pPr>
      <w:r>
        <w:rPr>
          <w:i/>
          <w:iCs/>
          <w:color w:val="6B7280"/>
        </w:rPr>
        <w:t xml:space="preserve">"deducting EUR 12,000.00 in respect of supervision and site management, which in the Engineer's view is already recovered within the priced Bill rates applied to the varied work."</w:t>
      </w:r>
    </w:p>
    <w:p>
      <w:pPr>
        <w:pStyle w:val="Heading1"/>
        <w:pBdr>
          <w:bottom w:val="single" w:color="1F6FB2" w:sz="6"/>
        </w:pBdr>
        <w:spacing w:after="120" w:before="240"/>
      </w:pPr>
      <w:r>
        <w:rPr>
          <w:b/>
          <w:bCs/>
          <w:color w:val="0F2E4C"/>
        </w:rPr>
        <w:t xml:space="preserve">— 3.4 Restated quantum — both claims together</w:t>
      </w:r>
    </w:p>
    <w:p>
      <w:pPr>
        <w:spacing w:after="120"/>
      </w:pPr>
      <w:r>
        <w:rPr>
          <w:b/>
          <w:bCs/>
        </w:rPr>
        <w:t xml:space="preserve">The arithmetic-error point — a free hit.</w:t>
      </w:r>
      <w:r>
        <w:t xml:space="preserve"> The determination says 21 working days × EUR 4,492.68 = EUR 107,824.32. That arithmetic only works at 24 working days (24 × 4,492.68 = 107,824.32 exactly). The 21 × 4,492.68 figure is EUR 94,346.28. Either the Engineer applied the wrong number of days to his own rate (24 not 21) or he made a typographical error. The letter invites the Engineer to issue a corrigendum. We do NOT rely on the inconsistency to inflate our claim; we use it to confirm the correct rate-days arithmetic and to nudge him toward acknowledging that his own rate × 30 wd = EUR 134,780.40.</w:t>
      </w:r>
    </w:p>
    <w:p>
      <w:pPr>
        <w:spacing w:after="120"/>
      </w:pPr>
      <w:r>
        <w:t xml:space="preserve">The headline number we fight for is </w:t>
      </w:r>
      <w:r>
        <w:rPr>
          <w:b/>
          <w:bCs/>
        </w:rPr>
        <w:t xml:space="preserve">EUR 40,434 prolongation</w:t>
      </w:r>
      <w:r>
        <w:t xml:space="preserve"> (the 9 wd × EUR 4,492.68 that should not be deducted) plus the 9 working days of EOT itself, plus the EUR 12,000 on EI-007 under the NOD.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2E4C" w:val="clear"/>
          </w:tcPr>
          <w:p>
            <w:pPr>
              <w:jc w:val="left"/>
            </w:pPr>
            <w:r>
              <w:rPr>
                <w:b/>
                <w:bCs/>
                <w:color w:val="FFFFFF"/>
              </w:rPr>
              <w:t xml:space="preserve">Head</w:t>
            </w:r>
          </w:p>
        </w:tc>
        <w:tc>
          <w:tcPr>
            <w:shd w:fill="0F2E4C" w:val="clear"/>
          </w:tcPr>
          <w:p>
            <w:pPr>
              <w:jc w:val="left"/>
            </w:pPr>
            <w:r>
              <w:rPr>
                <w:b/>
                <w:bCs/>
                <w:color w:val="FFFFFF"/>
              </w:rPr>
              <w:t xml:space="preserve">Claimed</w:t>
            </w:r>
          </w:p>
        </w:tc>
        <w:tc>
          <w:tcPr>
            <w:shd w:fill="0F2E4C" w:val="clear"/>
          </w:tcPr>
          <w:p>
            <w:pPr>
              <w:jc w:val="left"/>
            </w:pPr>
            <w:r>
              <w:rPr>
                <w:b/>
                <w:bCs/>
                <w:color w:val="FFFFFF"/>
              </w:rPr>
              <w:t xml:space="preserve">Determined</w:t>
            </w:r>
          </w:p>
        </w:tc>
        <w:tc>
          <w:tcPr>
            <w:shd w:fill="0F2E4C" w:val="clear"/>
          </w:tcPr>
          <w:p>
            <w:pPr>
              <w:jc w:val="left"/>
            </w:pPr>
            <w:r>
              <w:rPr>
                <w:b/>
                <w:bCs/>
                <w:color w:val="FFFFFF"/>
              </w:rPr>
              <w:t xml:space="preserve">Pushed back to</w:t>
            </w:r>
          </w:p>
        </w:tc>
        <w:tc>
          <w:tcPr>
            <w:shd w:fill="0F2E4C" w:val="clear"/>
          </w:tcPr>
          <w:p>
            <w:pPr>
              <w:jc w:val="left"/>
            </w:pPr>
            <w:r>
              <w:rPr>
                <w:b/>
                <w:bCs/>
                <w:color w:val="FFFFFF"/>
              </w:rPr>
              <w:t xml:space="preserve">Accepted</w:t>
            </w:r>
          </w:p>
        </w:tc>
        <w:tc>
          <w:tcPr>
            <w:shd w:fill="0F2E4C" w:val="clear"/>
          </w:tcPr>
          <w:p>
            <w:pPr>
              <w:jc w:val="left"/>
            </w:pPr>
            <w:r>
              <w:rPr>
                <w:b/>
                <w:bCs/>
                <w:color w:val="FFFFFF"/>
              </w:rPr>
              <w:t xml:space="preserve">Disputed under NOD</w:t>
            </w:r>
          </w:p>
        </w:tc>
      </w:tr>
      <w:tr>
        <w:trPr>
          <w:tblHeader w:val="false"/>
        </w:trPr>
        <w:tc>
          <w:p>
            <w:r>
              <w:t xml:space="preserve">EOT (110 kV)</w:t>
            </w:r>
          </w:p>
        </w:tc>
        <w:tc>
          <w:p>
            <w:r>
              <w:t xml:space="preserve">30 wd</w:t>
            </w:r>
          </w:p>
        </w:tc>
        <w:tc>
          <w:p>
            <w:r>
              <w:t xml:space="preserve">21 wd</w:t>
            </w:r>
          </w:p>
        </w:tc>
        <w:tc>
          <w:p>
            <w:r>
              <w:rPr>
                <w:b/>
                <w:bCs/>
              </w:rPr>
              <w:t xml:space="preserve">30 wd</w:t>
            </w:r>
          </w:p>
        </w:tc>
        <w:tc>
          <w:p>
            <w:r>
              <w:t xml:space="preserve">—</w:t>
            </w:r>
          </w:p>
        </w:tc>
        <w:tc>
          <w:p>
            <w:r>
              <w:t xml:space="preserve">—</w:t>
            </w:r>
          </w:p>
        </w:tc>
      </w:tr>
      <w:tr>
        <w:trPr>
          <w:tblHeader w:val="false"/>
        </w:trPr>
        <w:tc>
          <w:tcPr>
            <w:shd w:fill="F5F5F5" w:val="clear"/>
          </w:tcPr>
          <w:p>
            <w:r>
              <w:t xml:space="preserve">Prolongation cost (30 × EUR 4,492.68)</w:t>
            </w:r>
          </w:p>
        </w:tc>
        <w:tc>
          <w:tcPr>
            <w:shd w:fill="F5F5F5" w:val="clear"/>
          </w:tcPr>
          <w:p>
            <w:r>
              <w:t xml:space="preserve">EUR 134,780.40</w:t>
            </w:r>
          </w:p>
        </w:tc>
        <w:tc>
          <w:tcPr>
            <w:shd w:fill="F5F5F5" w:val="clear"/>
          </w:tcPr>
          <w:p>
            <w:r>
              <w:t xml:space="preserve">EUR 107,824.32 (as written — but 21 × EUR 4,492.68 = EUR 94,346.28, see below)</w:t>
            </w:r>
          </w:p>
        </w:tc>
        <w:tc>
          <w:tcPr>
            <w:shd w:fill="F5F5F5" w:val="clear"/>
          </w:tcPr>
          <w:p>
            <w:r>
              <w:t xml:space="preserve">EUR 134,780.40</w:t>
            </w:r>
          </w:p>
        </w:tc>
        <w:tc>
          <w:tcPr>
            <w:shd w:fill="F5F5F5" w:val="clear"/>
          </w:tcPr>
          <w:p>
            <w:r>
              <w:t xml:space="preserve">—</w:t>
            </w:r>
          </w:p>
        </w:tc>
        <w:tc>
          <w:tcPr>
            <w:shd w:fill="F5F5F5" w:val="clear"/>
          </w:tcPr>
          <w:p>
            <w:r>
              <w:t xml:space="preserve">—</w:t>
            </w:r>
          </w:p>
        </w:tc>
      </w:tr>
      <w:tr>
        <w:trPr>
          <w:tblHeader w:val="false"/>
        </w:trPr>
        <w:tc>
          <w:p>
            <w:r>
              <w:t xml:space="preserve">Cost-incurred Head 1 (deferred commissioning eng. INV-SBI-2211)</w:t>
            </w:r>
          </w:p>
        </w:tc>
        <w:tc>
          <w:p>
            <w:r>
              <w:t xml:space="preserve">EUR 8,400</w:t>
            </w:r>
          </w:p>
        </w:tc>
        <w:tc>
          <w:p>
            <w:r>
              <w:t xml:space="preserve">EUR 8,400</w:t>
            </w:r>
          </w:p>
        </w:tc>
        <w:tc>
          <w:p>
            <w:r>
              <w:t xml:space="preserve">—</w:t>
            </w:r>
          </w:p>
        </w:tc>
        <w:tc>
          <w:p>
            <w:r>
              <w:t xml:space="preserve">EUR 8,400</w:t>
            </w:r>
          </w:p>
        </w:tc>
        <w:tc>
          <w:p>
            <w:r>
              <w:t xml:space="preserve">—</w:t>
            </w:r>
          </w:p>
        </w:tc>
      </w:tr>
      <w:tr>
        <w:trPr>
          <w:tblHeader w:val="false"/>
        </w:trPr>
        <w:tc>
          <w:tcPr>
            <w:shd w:fill="F5F5F5" w:val="clear"/>
          </w:tcPr>
          <w:p>
            <w:r>
              <w:t xml:space="preserve">Cost-incurred Head 3 (re-planning INV-SBI-2219)</w:t>
            </w:r>
          </w:p>
        </w:tc>
        <w:tc>
          <w:tcPr>
            <w:shd w:fill="F5F5F5" w:val="clear"/>
          </w:tcPr>
          <w:p>
            <w:r>
              <w:t xml:space="preserve">EUR 3,200</w:t>
            </w:r>
          </w:p>
        </w:tc>
        <w:tc>
          <w:tcPr>
            <w:shd w:fill="F5F5F5" w:val="clear"/>
          </w:tcPr>
          <w:p>
            <w:r>
              <w:t xml:space="preserve">EUR 3,200</w:t>
            </w:r>
          </w:p>
        </w:tc>
        <w:tc>
          <w:tcPr>
            <w:shd w:fill="F5F5F5" w:val="clear"/>
          </w:tcPr>
          <w:p>
            <w:r>
              <w:t xml:space="preserve">—</w:t>
            </w:r>
          </w:p>
        </w:tc>
        <w:tc>
          <w:tcPr>
            <w:shd w:fill="F5F5F5" w:val="clear"/>
          </w:tcPr>
          <w:p>
            <w:r>
              <w:t xml:space="preserve">EUR 3,200</w:t>
            </w:r>
          </w:p>
        </w:tc>
        <w:tc>
          <w:tcPr>
            <w:shd w:fill="F5F5F5" w:val="clear"/>
          </w:tcPr>
          <w:p>
            <w:r>
              <w:t xml:space="preserve">—</w:t>
            </w:r>
          </w:p>
        </w:tc>
      </w:tr>
      <w:tr>
        <w:trPr>
          <w:tblHeader w:val="false"/>
        </w:trPr>
        <w:tc>
          <w:p>
            <w:r>
              <w:t xml:space="preserve">Cost-incurred Head 2 (temp power INV-SBI-2216)</w:t>
            </w:r>
          </w:p>
        </w:tc>
        <w:tc>
          <w:p>
            <w:r>
              <w:t xml:space="preserve">EUR 6,800</w:t>
            </w:r>
          </w:p>
        </w:tc>
        <w:tc>
          <w:p>
            <w:r>
              <w:t xml:space="preserve">EUR 0</w:t>
            </w:r>
          </w:p>
        </w:tc>
        <w:tc>
          <w:p>
            <w:r>
              <w:t xml:space="preserve">—</w:t>
            </w:r>
          </w:p>
        </w:tc>
        <w:tc>
          <w:p>
            <w:r>
              <w:t xml:space="preserve">EUR 0</w:t>
            </w:r>
          </w:p>
        </w:tc>
        <w:tc>
          <w:p>
            <w:r>
              <w:t xml:space="preserve">—</w:t>
            </w:r>
          </w:p>
        </w:tc>
      </w:tr>
      <w:tr>
        <w:trPr>
          <w:tblHeader w:val="false"/>
        </w:trPr>
        <w:tc>
          <w:tcPr>
            <w:shd w:fill="F5F5F5" w:val="clear"/>
          </w:tcPr>
          <w:p>
            <w:r>
              <w:t xml:space="preserve">EI-007 interim valuation (DH4 cooling)</w:t>
            </w:r>
          </w:p>
        </w:tc>
        <w:tc>
          <w:tcPr>
            <w:shd w:fill="F5F5F5" w:val="clear"/>
          </w:tcPr>
          <w:p>
            <w:r>
              <w:t xml:space="preserve">EUR 489,122.80</w:t>
            </w:r>
          </w:p>
        </w:tc>
        <w:tc>
          <w:tcPr>
            <w:shd w:fill="F5F5F5" w:val="clear"/>
          </w:tcPr>
          <w:p>
            <w:r>
              <w:t xml:space="preserve">EUR 477,122.80</w:t>
            </w:r>
          </w:p>
        </w:tc>
        <w:tc>
          <w:tcPr>
            <w:shd w:fill="F5F5F5" w:val="clear"/>
          </w:tcPr>
          <w:p>
            <w:r>
              <w:t xml:space="preserve">—</w:t>
            </w:r>
          </w:p>
        </w:tc>
        <w:tc>
          <w:tcPr>
            <w:shd w:fill="F5F5F5" w:val="clear"/>
          </w:tcPr>
          <w:p>
            <w:r>
              <w:t xml:space="preserve">—</w:t>
            </w:r>
          </w:p>
        </w:tc>
        <w:tc>
          <w:tcPr>
            <w:shd w:fill="F5F5F5" w:val="clear"/>
          </w:tcPr>
          <w:p>
            <w:r>
              <w:t xml:space="preserve">EUR 489,122.80 (NOD Head B)</w:t>
            </w:r>
          </w:p>
        </w:tc>
      </w:tr>
      <w:tr>
        <w:trPr>
          <w:tblHeader w:val="false"/>
        </w:trPr>
        <w:tc>
          <w:p>
            <w:r>
              <w:rPr>
                <w:b/>
                <w:bCs/>
              </w:rPr>
              <w:t xml:space="preserve">Push-back total (today)</w:t>
            </w:r>
          </w:p>
        </w:tc>
        <w:tc>
          <w:p>
            <w:r>
              <w:t xml:space="preserve"/>
            </w:r>
          </w:p>
        </w:tc>
        <w:tc>
          <w:p>
            <w:r>
              <w:t xml:space="preserve"/>
            </w:r>
          </w:p>
        </w:tc>
        <w:tc>
          <w:p>
            <w:r>
              <w:rPr>
                <w:b/>
                <w:bCs/>
              </w:rPr>
              <w:t xml:space="preserve">EUR 26,956.08 + EUR 12,000 (NOD Head B)</w:t>
            </w:r>
          </w:p>
        </w:tc>
        <w:tc>
          <w:p>
            <w:r>
              <w:t xml:space="preserve"/>
            </w:r>
          </w:p>
        </w:tc>
        <w:tc>
          <w:p>
            <w:r>
              <w:t xml:space="preserve"/>
            </w:r>
          </w:p>
        </w:tc>
      </w:tr>
    </w:tbl>
    <w:p/>
    <w:p>
      <w:pPr>
        <w:pStyle w:val="Heading1"/>
        <w:pBdr>
          <w:bottom w:val="single" w:color="1F6FB2" w:sz="6"/>
        </w:pBdr>
        <w:spacing w:after="120" w:before="240"/>
      </w:pPr>
      <w:r>
        <w:rPr>
          <w:b/>
          <w:bCs/>
          <w:color w:val="0F2E4C"/>
        </w:rPr>
        <w:t xml:space="preserve">4. What the user has not thought of</w:t>
      </w:r>
    </w:p>
    <w:p>
      <w:pPr>
        <w:spacing w:after="120"/>
      </w:pPr>
      <w:r>
        <w:t xml:space="preserve">These are the things worth raising separately so they don't get lost.</w:t>
      </w:r>
    </w:p>
    <w:p>
      <w:pPr>
        <w:pStyle w:val="Heading1"/>
        <w:pBdr>
          <w:bottom w:val="single" w:color="1F6FB2" w:sz="6"/>
        </w:pBdr>
        <w:spacing w:after="120" w:before="240"/>
      </w:pPr>
      <w:r>
        <w:rPr>
          <w:b/>
          <w:bCs/>
          <w:color w:val="0F2E4C"/>
        </w:rPr>
        <w:t xml:space="preserve">— 4.1 Cl 20.2.2 deemed-validity (Rev C wording) is not addressed in the determination</w:t>
      </w:r>
    </w:p>
    <w:p>
      <w:pPr>
        <w:spacing w:after="120"/>
      </w:pPr>
      <w:r>
        <w:t xml:space="preserve">PDC-CLM-001 §2 argued that PDC-NOT-009 is deemed valid under Sub-Clause 20.2.2 as reinstated in Rev C SP-15 of the Particular Conditions, because the Engineer's Cl 20.2.2 non-compliance letter (PDC-LTR-PMC-021, 28.10.2026) was given 19 days after the Notice — 5 days after the expiry of the 14-day window stipulated in the Rev C wording. The determination is silent on this. If the Engineer later argues the Notice was out of time, our position is that the issue was determined by Sub-Clause 20.2.2 (Rev C wording) and is res judicata. We should record this in the cover note so it doesn't have to be re-argued later.</w:t>
      </w:r>
    </w:p>
    <w:p>
      <w:pPr>
        <w:spacing w:after="120"/>
      </w:pPr>
      <w:r>
        <w:rPr>
          <w:b/>
          <w:bCs/>
        </w:rPr>
        <w:t xml:space="preserve">Important caveat for the Commercial Director.</w:t>
      </w:r>
      <w:r>
        <w:t xml:space="preserve"> This deemed-validity argument rests on the </w:t>
      </w:r>
      <w:r>
        <w:rPr>
          <w:b/>
          <w:bCs/>
        </w:rPr>
        <w:t xml:space="preserve">Rev C SP-15 wording of Sub-Clause 20.2.2</w:t>
      </w:r>
      <w:r>
        <w:t xml:space="preserve">, which is a Particular Conditions amendment and not the standard FIDIC Yellow Book 2017 wording. The argument is sound on the executed Rev C contract but is contractually specific. If we ever end up before the DAB or an arbitrator, this is a point the other side will press on. We have the operative-text file note PDC-CX-009 (25.11.2026) on the record, which is good. We do not have a separate verification that SP-15 was not further amended in any subsequent VO — worth checking before the letter goes out.</w:t>
      </w:r>
    </w:p>
    <w:p>
      <w:pPr>
        <w:pStyle w:val="Heading1"/>
        <w:pBdr>
          <w:bottom w:val="single" w:color="1F6FB2" w:sz="6"/>
        </w:pBdr>
        <w:spacing w:after="120" w:before="240"/>
      </w:pPr>
      <w:r>
        <w:rPr>
          <w:b/>
          <w:bCs/>
          <w:color w:val="0F2E4C"/>
        </w:rPr>
        <w:t xml:space="preserve">— 4.2 The 9 wd cut opens a route to a future acceleration instruction</w:t>
      </w:r>
    </w:p>
    <w:p>
      <w:pPr>
        <w:spacing w:after="120"/>
      </w:pPr>
      <w:r>
        <w:t xml:space="preserve">If the 9 wd cut stands at 21 wd and the Employer instructs the Contractor to compress and recover the 9 wd under Sub-Clause 8.4 / 8.7, that is an acceleration instruction and will attract its own cost under the Contract. We are not accelerating today and should not threaten to. But the cover note should flag this as a downstream risk worth recording, so that if the Engineer (or Employer) subsequently frames the 21 wd EOT as recoverable by acceleration, we have it on the file that we do not accept that framing.</w:t>
      </w:r>
    </w:p>
    <w:p>
      <w:pPr>
        <w:spacing w:after="120"/>
      </w:pPr>
      <w:r>
        <w:t xml:space="preserve">The acceleration cost itself cannot be quantified at this stage without: (a) the agreed LD rate under Sub-Clause 8.7 / SP-5 of the Particular Conditions; (b) the contract value stated in PDC-PC-001 Rev C or PDC-AGR-001; and (c) the specific instruction issued. </w:t>
      </w:r>
      <w:r>
        <w:rPr>
          <w:b/>
          <w:bCs/>
        </w:rPr>
        <w:t xml:space="preserve">None of these are in the records I have read</w:t>
      </w:r>
      <w:r>
        <w:t xml:space="preserve"> and we should not put a number in a cover note that we cannot defend from documents. The QS team should pull these figures now and we should have them ready as a separate schedule before any acceleration conversation takes place.</w:t>
      </w:r>
    </w:p>
    <w:p>
      <w:pPr>
        <w:pStyle w:val="Heading1"/>
        <w:pBdr>
          <w:bottom w:val="single" w:color="1F6FB2" w:sz="6"/>
        </w:pBdr>
        <w:spacing w:after="120" w:before="240"/>
      </w:pPr>
      <w:r>
        <w:rPr>
          <w:b/>
          <w:bCs/>
          <w:color w:val="0F2E4C"/>
        </w:rPr>
        <w:t xml:space="preserve">— 4.3 The EI-007 EUR 12,000 cut feeds into IPC-11 cash flow</w:t>
      </w:r>
    </w:p>
    <w:p>
      <w:pPr>
        <w:spacing w:after="120"/>
      </w:pPr>
      <w:r>
        <w:t xml:space="preserve">If the EUR 12,000 cut stands at the next IPC, the cash flow impact is small but real. We need to make sure the QS tracks this and that we don't lose sight of the cut when the next IPC is drafted.</w:t>
      </w:r>
    </w:p>
    <w:p>
      <w:pPr>
        <w:pStyle w:val="Heading1"/>
        <w:pBdr>
          <w:bottom w:val="single" w:color="1F6FB2" w:sz="6"/>
        </w:pBdr>
        <w:spacing w:after="120" w:before="240"/>
      </w:pPr>
      <w:r>
        <w:rPr>
          <w:b/>
          <w:bCs/>
          <w:color w:val="0F2E4C"/>
        </w:rPr>
        <w:t xml:space="preserve">— 4.4 Living with the Engineer for 18 months</w:t>
      </w:r>
    </w:p>
    <w:p>
      <w:pPr>
        <w:spacing w:after="120"/>
      </w:pPr>
      <w:r>
        <w:t xml:space="preserve">The user said this. The right letter is one we would be comfortable showing the Employer (AL, Aviapolis DC Holdings) at any future progress meeting. Concede gracefully on the EUR 6,800; fight precisely on the 9 wd; NOD on the EI-007 EUR 12,000 with the methodology request attached. No wording the Engineer can use to characterise us as combative.</w:t>
      </w:r>
    </w:p>
    <w:p>
      <w:pPr>
        <w:pStyle w:val="Heading1"/>
        <w:pBdr>
          <w:bottom w:val="single" w:color="1F6FB2" w:sz="6"/>
        </w:pBdr>
        <w:spacing w:after="120" w:before="240"/>
      </w:pPr>
      <w:r>
        <w:rPr>
          <w:b/>
          <w:bCs/>
          <w:color w:val="0F2E4C"/>
        </w:rPr>
        <w:t xml:space="preserve">— 4.5 The Engineer's concession is preserved</w:t>
      </w:r>
    </w:p>
    <w:p>
      <w:pPr>
        <w:spacing w:after="120"/>
      </w:pPr>
      <w:r>
        <w:t xml:space="preserve">The Engineer accepts the 30 wd gross slip (Section 1) and accepts the EUR 4,492.68/wd rate derived from priced Bill Section A (Section 2). Both are concessions we should preserve on the record. If we win on the 9 wd cut, the prolongation quantum flows automatically.</w:t>
      </w:r>
    </w:p>
    <w:p>
      <w:pPr>
        <w:pStyle w:val="Heading1"/>
        <w:pBdr>
          <w:bottom w:val="single" w:color="1F6FB2" w:sz="6"/>
        </w:pBdr>
        <w:spacing w:after="120" w:before="240"/>
      </w:pPr>
      <w:r>
        <w:rPr>
          <w:b/>
          <w:bCs/>
          <w:color w:val="0F2E4C"/>
        </w:rPr>
        <w:t xml:space="preserve">— 4.6 The deadline is the deadline</w:t>
      </w:r>
    </w:p>
    <w:p>
      <w:pPr>
        <w:spacing w:after="120"/>
      </w:pPr>
      <w:r>
        <w:t xml:space="preserve">The NOD must be in the Engineer's hands by 12.02.2027. A letter dated 09.02.2027 but delivered on 15.02.2027 is out of time. We should send by recorded delivery or hand-deliver with a receipt.</w:t>
      </w:r>
    </w:p>
    <w:p>
      <w:pPr>
        <w:pStyle w:val="Heading1"/>
        <w:pBdr>
          <w:bottom w:val="single" w:color="1F6FB2" w:sz="6"/>
        </w:pBdr>
        <w:spacing w:after="120" w:before="240"/>
      </w:pPr>
      <w:r>
        <w:rPr>
          <w:b/>
          <w:bCs/>
          <w:color w:val="0F2E4C"/>
        </w:rPr>
        <w:t xml:space="preserve">— 4.7 The letter addressee is K. Nordgren, not A. Halonen</w:t>
      </w:r>
    </w:p>
    <w:p>
      <w:pPr>
        <w:spacing w:after="120"/>
      </w:pPr>
      <w:r>
        <w:t xml:space="preserve">The determination letter is signed by K. Nordgren, Engineer's Representative (the signing role is "Engineer's Representative", not "Engineer"). The reply should be addressed to K. Nordgren and the cover note should make clear that any communications back to the Engineer on the determination go through K. Nordgren. This is a small point but it matters for service-of-notice under Cl 1.3 — misaddressing could be argued as defective service.</w:t>
      </w:r>
    </w:p>
    <w:p>
      <w:pPr>
        <w:pStyle w:val="Heading1"/>
        <w:pBdr>
          <w:bottom w:val="single" w:color="1F6FB2" w:sz="6"/>
        </w:pBdr>
        <w:spacing w:after="120" w:before="240"/>
      </w:pPr>
      <w:r>
        <w:rPr>
          <w:b/>
          <w:bCs/>
          <w:color w:val="0F2E4C"/>
        </w:rPr>
        <w:t xml:space="preserve">— 4.8 Two-head NOD, not a partial reservation — the strategic rationale</w:t>
      </w:r>
    </w:p>
    <w:p>
      <w:pPr>
        <w:spacing w:after="120"/>
      </w:pPr>
      <w:r>
        <w:t xml:space="preserve">PDC-LTR-005-013 NODs on the 9 wd EOT cut AND on the EI-007 EUR 12,000 cut, and accepts the EUR 6,800 cut in terms. The EUR 12,000 NOD is a procedural protection only — if the Engineer produces a sound priced-Bill build-up within 14 days, the Contractor accepts and the NOD on Head B goes nowhere. If the Engineer produces no build-up, or produces one that does not support the cut, the NOD preserves the right to refer the EUR 12,000 to the DAB.</w:t>
      </w:r>
    </w:p>
    <w:p>
      <w:pPr>
        <w:spacing w:after="120"/>
      </w:pPr>
      <w:r>
        <w:t xml:space="preserve">Strategic rationale for the two-head NOD rather than a partial one-head NOD:</w:t>
      </w:r>
    </w:p>
    <w:p>
      <w:pPr>
        <w:spacing w:after="120"/>
      </w:pPr>
      <w:r>
        <w:t xml:space="preserve">(a) The EUR 12,000 cut is inadequately reasoned. The Engineer has cited "priced Bill rates" without clause, line, or build-up. A NOD on that basis is not fighting everything — it is asking the Engineer to do the work his determination should have done in the first place.</w:t>
      </w:r>
    </w:p>
    <w:p>
      <w:pPr>
        <w:spacing w:after="120"/>
      </w:pPr>
      <w:r>
        <w:t xml:space="preserve">(b) The "ask for the methodology AND preserve the position" formulation is the standard claims-consulting posture — NOD as a procedural protection, with the substantive fight only joined if and when the Engineer produces something we disagree with.</w:t>
      </w:r>
    </w:p>
    <w:p>
      <w:pPr>
        <w:spacing w:after="120"/>
      </w:pPr>
      <w:r>
        <w:t xml:space="preserve">(c) The cost of being wrong on the two-head NOD is small: if the Engineer produces a sound priced-Bill reference, we accept and the NOD on Head B goes nowhere. The cost of being wrong on a partial one-head NOD (with the EUR 12,000 reserved by silence) is the EUR 12,000 itself plus the loss of credibility on future under-reasoned determinations.</w:t>
      </w:r>
    </w:p>
    <w:p>
      <w:pPr>
        <w:spacing w:after="120"/>
      </w:pPr>
      <w:r>
        <w:t xml:space="preserve">(d) On a 18-month project, the precedent matters. We do not accept under-reasoned determinations as final by silence. The EUR 12,000 is not the point; the principle is the point.</w:t>
      </w:r>
    </w:p>
    <w:p>
      <w:pPr>
        <w:pStyle w:val="Heading1"/>
        <w:pBdr>
          <w:bottom w:val="single" w:color="1F6FB2" w:sz="6"/>
        </w:pBdr>
        <w:spacing w:after="120" w:before="240"/>
      </w:pPr>
      <w:r>
        <w:rPr>
          <w:b/>
          <w:bCs/>
          <w:color w:val="0F2E4C"/>
        </w:rPr>
        <w:t xml:space="preserve">5. The letter itself — PDC-LTR-005-013</w:t>
      </w:r>
    </w:p>
    <w:p>
      <w:pPr>
        <w:spacing w:after="120"/>
      </w:pPr>
      <w:r>
        <w:t xml:space="preserve">The letter (attached as PDC-LTR-005-013</w:t>
      </w:r>
      <w:r>
        <w:rPr>
          <w:i/>
          <w:iCs/>
        </w:rPr>
        <w:t xml:space="preserve">Determination</w:t>
      </w:r>
      <w:r>
        <w:t xml:space="preserve">Response_Letter.docx) does the following:</w:t>
      </w:r>
    </w:p>
    <w:p>
      <w:pPr>
        <w:pStyle w:val="ListParagraph"/>
        <w:numPr>
          <w:ilvl w:val="0"/>
          <w:numId w:val="1"/>
        </w:numPr>
      </w:pPr>
      <w:r>
        <w:t xml:space="preserve">Section 1: Acknowledges receipt and confirms we have considered the determination.</w:t>
      </w:r>
    </w:p>
    <w:p>
      <w:pPr>
        <w:pStyle w:val="ListParagraph"/>
        <w:numPr>
          <w:ilvl w:val="0"/>
          <w:numId w:val="1"/>
        </w:numPr>
      </w:pPr>
      <w:r>
        <w:t xml:space="preserve">Section 2: Pushes back on the 9 wd EOT cut (the main argument). Cites ST-1300 (not ST-1310), cites the 55 wd float, cites SP-7 as requiring apportionment not set-off.</w:t>
      </w:r>
    </w:p>
    <w:p>
      <w:pPr>
        <w:pStyle w:val="ListParagraph"/>
        <w:numPr>
          <w:ilvl w:val="0"/>
          <w:numId w:val="1"/>
        </w:numPr>
      </w:pPr>
      <w:r>
        <w:t xml:space="preserve">Section 3: Accepts the EUR 6,800 temp-power cut. Says so cleanly.</w:t>
      </w:r>
    </w:p>
    <w:p>
      <w:pPr>
        <w:pStyle w:val="ListParagraph"/>
        <w:numPr>
          <w:ilvl w:val="0"/>
          <w:numId w:val="1"/>
        </w:numPr>
      </w:pPr>
      <w:r>
        <w:t xml:space="preserve">Section 4: Disputes the EI-007 EUR 12,000 cut as inadequately reasoned and asks for the priced-Bill rate build-up within 14 days. Notes the inconsistency with EI-007 §4 on commissioning.</w:t>
      </w:r>
    </w:p>
    <w:p>
      <w:pPr>
        <w:pStyle w:val="ListParagraph"/>
        <w:numPr>
          <w:ilvl w:val="0"/>
          <w:numId w:val="1"/>
        </w:numPr>
      </w:pPr>
      <w:r>
        <w:t xml:space="preserve">Section 5: Restates quantum.</w:t>
      </w:r>
    </w:p>
    <w:p>
      <w:pPr>
        <w:pStyle w:val="ListParagraph"/>
        <w:numPr>
          <w:ilvl w:val="0"/>
          <w:numId w:val="1"/>
        </w:numPr>
      </w:pPr>
      <w:r>
        <w:t xml:space="preserve">Section 6: Records this letter as a Notice of Dissatisfaction under Cl 3.7.5 in respect of both Head A (the 9 wd EOT cut) and Head B (the EI-007 EUR 12,000 cut). Records the EUR 6,800 as accepted.</w:t>
      </w:r>
    </w:p>
    <w:p>
      <w:pPr>
        <w:pStyle w:val="ListParagraph"/>
        <w:numPr>
          <w:ilvl w:val="0"/>
          <w:numId w:val="1"/>
        </w:numPr>
      </w:pPr>
      <w:r>
        <w:t xml:space="preserve">Section 7: Reservation of rights.</w:t>
      </w:r>
    </w:p>
    <w:p>
      <w:pPr>
        <w:pStyle w:val="Heading1"/>
        <w:pBdr>
          <w:bottom w:val="single" w:color="1F6FB2" w:sz="6"/>
        </w:pBdr>
        <w:spacing w:after="120" w:before="240"/>
      </w:pPr>
      <w:r>
        <w:rPr>
          <w:b/>
          <w:bCs/>
          <w:color w:val="0F2E4C"/>
        </w:rPr>
        <w:t xml:space="preserve">6. Recommendation</w:t>
      </w:r>
    </w:p>
    <w:p>
      <w:pPr>
        <w:spacing w:after="120"/>
      </w:pPr>
      <w:r>
        <w:t xml:space="preserve">Sign PDC-LTR-005-013 as drafted. Send by 09.02.2027 (3 days inside the deadline) to allow for delivery. If the Engineer wishes to discuss, agree to a meeting — but on the record that any agreement reached is without prejudice to our Cl 3.7.5 position.</w:t>
      </w:r>
    </w:p>
    <w:p>
      <w:pPr>
        <w:spacing w:after="120"/>
      </w:pPr>
      <w:r>
        <w:rPr>
          <w:b/>
          <w:bCs/>
        </w:rPr>
        <w:t xml:space="preserve">Notes from the Commercial Director's review of the prior draft (incorporated into this revision):</w:t>
      </w:r>
    </w:p>
    <w:p>
      <w:pPr>
        <w:pStyle w:val="ListParagraph"/>
        <w:numPr>
          <w:ilvl w:val="0"/>
          <w:numId w:val="1"/>
        </w:numPr>
      </w:pPr>
      <w:r>
        <w:t xml:space="preserve">The 14-day build-up request in Section 4 lands on 23.02.2027 — 11 days after the 12.02.2027 NOD deadline. A reservation is not a NOD; the letter NODs on Head B in Section 6 and asks for the methodology in Section 4. The two are not alternatives — they are parallel acts.</w:t>
      </w:r>
    </w:p>
    <w:p>
      <w:pPr>
        <w:pStyle w:val="ListParagraph"/>
        <w:numPr>
          <w:ilvl w:val="0"/>
          <w:numId w:val="1"/>
        </w:numPr>
      </w:pPr>
      <w:r>
        <w:t xml:space="preserve">The "15 calendar days from today" date count in the prior draft was reworded to anchor to the 12.02.2027 deadline rather than to the cover note date, since the user is reading this several days after the cover note was written.</w:t>
      </w:r>
    </w:p>
    <w:p>
      <w:pPr>
        <w:pStyle w:val="ListParagraph"/>
        <w:numPr>
          <w:ilvl w:val="0"/>
          <w:numId w:val="1"/>
        </w:numPr>
      </w:pPr>
      <w:r>
        <w:t xml:space="preserve">Future asks of the Commercial Director will be issued via </w:t>
      </w:r>
      <w:r>
        <w:rPr>
          <w:rFonts w:ascii="Consolas" w:cs="Consolas" w:eastAsia="Consolas" w:hAnsi="Consolas"/>
          <w:color w:val="1F6FB2"/>
        </w:rPr>
        <w:t xml:space="preserve">ask_user</w:t>
      </w:r>
      <w:r>
        <w:t xml:space="preserve"> so the user has a clear prompt to respond to, rather than relying on the agent ending its turn.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C1C1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2026-08-12T02:43:33.142Z</dcterms:created>
  <dcterms:modified xsi:type="dcterms:W3CDTF">2026-08-12T02:43:33.142Z</dcterms:modified>
</cp:coreProperties>
</file>

<file path=docProps/custom.xml><?xml version="1.0" encoding="utf-8"?>
<Properties xmlns="http://schemas.openxmlformats.org/officeDocument/2006/custom-properties" xmlns:vt="http://schemas.openxmlformats.org/officeDocument/2006/docPropsVTypes"/>
</file>