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F2E4C"/>
        </w:rPr>
        <w:t xml:space="preserve">LETTER — RESPONSE TO DETERMINATION PDC-LTR-PMC-025</w:t>
      </w:r>
    </w:p>
    <w:p>
      <w:pPr>
        <w:spacing w:after="120"/>
      </w:pPr>
      <w:r>
        <w:rPr>
          <w:b/>
          <w:bCs/>
        </w:rPr>
        <w:t xml:space="preserve">Reference:</w:t>
      </w:r>
      <w:r>
        <w:t xml:space="preserve"> PDC-LTR-005-013 · 9 February 2027 </w:t>
      </w:r>
      <w:r>
        <w:rPr>
          <w:b/>
          <w:bCs/>
        </w:rPr>
        <w:t xml:space="preserve">Project:</w:t>
      </w:r>
      <w:r>
        <w:t xml:space="preserve"> Polaris DC-1, Aviapolis Data Campus, Phase 1, Vantaa </w:t>
      </w:r>
      <w:r>
        <w:rPr>
          <w:b/>
          <w:bCs/>
        </w:rPr>
        <w:t xml:space="preserve">Contract:</w:t>
      </w:r>
      <w:r>
        <w:t xml:space="preserve"> PDC-PC-001 Rev C (FIDIC Yellow Book 2017, Particular Conditions as amended) </w:t>
      </w:r>
      <w:r>
        <w:rPr>
          <w:b/>
          <w:bCs/>
        </w:rPr>
        <w:t xml:space="preserve">Employer:</w:t>
      </w:r>
      <w:r>
        <w:t xml:space="preserve"> Aviapolis DC Holdings Oy </w:t>
      </w:r>
      <w:r>
        <w:rPr>
          <w:b/>
          <w:bCs/>
        </w:rPr>
        <w:t xml:space="preserve">Engineer's Representative:</w:t>
      </w:r>
      <w:r>
        <w:t xml:space="preserve"> K. Nordgren, Nordkraft PMC Oy </w:t>
      </w:r>
      <w:r>
        <w:rPr>
          <w:b/>
          <w:bCs/>
        </w:rPr>
        <w:t xml:space="preserve">Contractor:</w:t>
      </w:r>
      <w:r>
        <w:t xml:space="preserve"> Suomen Betoni-Infra Oy (SBI)</w:t>
      </w:r>
    </w:p>
    <w:p>
      <w:pPr>
        <w:spacing w:after="120"/>
      </w:pPr>
      <w:r>
        <w:rPr>
          <w:b/>
          <w:bCs/>
        </w:rPr>
        <w:t xml:space="preserve">Subject:</w:t>
      </w:r>
      <w:r>
        <w:t xml:space="preserve"> Contractor's position on the Engineer's determination PDC-LTR-PMC-025 of 14 January 2027 on PDC-CLM-001 (110 kV EOT and prolongation) and EI-007 (DH4 high-density cooling interim valuation)</w:t>
      </w:r>
    </w:p>
    <w:p>
      <w:pPr>
        <w:spacing w:after="120"/>
      </w:pPr>
      <w:r>
        <w:t xml:space="preserve">---</w:t>
      </w:r>
    </w:p>
    <w:p>
      <w:pPr>
        <w:spacing w:after="120"/>
      </w:pPr>
      <w:r>
        <w:t xml:space="preserve">K. Nordgren,</w:t>
      </w:r>
    </w:p>
    <w:p>
      <w:pPr>
        <w:spacing w:after="120"/>
      </w:pPr>
      <w:r>
        <w:t xml:space="preserve">We acknowledge receipt on 15 January 2027 of your determination PDC-LTR-PMC-025 addressing two matters:</w:t>
      </w:r>
    </w:p>
    <w:p>
      <w:pPr>
        <w:spacing w:after="120"/>
      </w:pPr>
      <w:r>
        <w:t xml:space="preserve">1. The Contractor's claim PDC-CLM-001 for an extension of the Time for Completion and additional Cost arising from the revised 110 kV grid energisation date (PDC-LTR-PMC-014 of 28 August 2026); and 2. The interim valuation under Sub-Clause 13.3.1 (as amended by SP-9) of instructed variation EI-007 of 3 December 2026 (DH4 high-density cooling).</w:t>
      </w:r>
    </w:p>
    <w:p>
      <w:pPr>
        <w:spacing w:after="120"/>
      </w:pPr>
      <w:r>
        <w:t xml:space="preserve">We have considered the determination in full. We accept parts of it. We disagree with parts of it. We set out our position below under three heads, and we restate our quantum. We record in Section 6 below that, in respect of the disagreements at Sections 2 and 4, this letter constitutes a Notice of Dissatisfaction under Sub-Clause 3.7.5.</w:t>
      </w:r>
    </w:p>
    <w:p>
      <w:pPr>
        <w:spacing w:after="120"/>
      </w:pPr>
      <w:r>
        <w:t xml:space="preserve">---</w:t>
      </w:r>
    </w:p>
    <w:p>
      <w:pPr>
        <w:pStyle w:val="Heading1"/>
        <w:pBdr>
          <w:bottom w:val="single" w:color="1F6FB2" w:sz="6"/>
        </w:pBdr>
        <w:spacing w:after="120" w:before="240"/>
      </w:pPr>
      <w:r>
        <w:rPr>
          <w:b/>
          <w:bCs/>
          <w:color w:val="0F2E4C"/>
        </w:rPr>
        <w:t xml:space="preserve">Section 1 — Acknowledgement and overall position</w:t>
      </w:r>
    </w:p>
    <w:p>
      <w:pPr>
        <w:spacing w:after="120"/>
      </w:pPr>
      <w:r>
        <w:t xml:space="preserve">We note and record the following concessions in your determination, which we accept and on which we do not seek to argue further:</w:t>
      </w:r>
    </w:p>
    <w:p>
      <w:pPr>
        <w:spacing w:after="120"/>
      </w:pPr>
      <w:r>
        <w:t xml:space="preserve">(a) The 30 working-day gross slip on the 110 kV event, as the figure from which the SP-7 apportionment is to be calculated, is accepted (Section 1).</w:t>
      </w:r>
    </w:p>
    <w:p>
      <w:pPr>
        <w:spacing w:after="120"/>
      </w:pPr>
      <w:r>
        <w:t xml:space="preserve">(b) The agreed daily rate of EUR 4,492.68 per working day for prolongation, derived from priced Bill Section A, is accepted (Section 2).</w:t>
      </w:r>
    </w:p>
    <w:p>
      <w:pPr>
        <w:spacing w:after="120"/>
      </w:pPr>
      <w:r>
        <w:t xml:space="preserve">(c) The cost-incurred heads allowed at EUR 8,400.00 (deferred commissioning engineer, INV-SBI-2211) and EUR 3,200.00 (re-planning and re-sequencing, INV-SBI-2219) are accepted (Section 3).</w:t>
      </w:r>
    </w:p>
    <w:p>
      <w:pPr>
        <w:spacing w:after="120"/>
      </w:pPr>
      <w:r>
        <w:t xml:space="preserve">We address the three remaining matters in Sections 2, 3 and 4 below.</w:t>
      </w:r>
    </w:p>
    <w:p>
      <w:pPr>
        <w:spacing w:after="120"/>
      </w:pPr>
      <w:r>
        <w:t xml:space="preserve">---</w:t>
      </w:r>
    </w:p>
    <w:p>
      <w:pPr>
        <w:pStyle w:val="Heading1"/>
        <w:pBdr>
          <w:bottom w:val="single" w:color="1F6FB2" w:sz="6"/>
        </w:pBdr>
        <w:spacing w:after="120" w:before="240"/>
      </w:pPr>
      <w:r>
        <w:rPr>
          <w:b/>
          <w:bCs/>
          <w:color w:val="0F2E4C"/>
        </w:rPr>
        <w:t xml:space="preserve">Section 2 — Head A: the 9 working-day EOT cut (Sub-Clause 8.5 / SP-7)</w:t>
      </w:r>
    </w:p>
    <w:p>
      <w:pPr>
        <w:pStyle w:val="Heading1"/>
        <w:pBdr>
          <w:bottom w:val="single" w:color="1F6FB2" w:sz="6"/>
        </w:pBdr>
        <w:spacing w:after="120" w:before="240"/>
      </w:pPr>
      <w:r>
        <w:rPr>
          <w:b/>
          <w:bCs/>
          <w:color w:val="0F2E4C"/>
        </w:rPr>
        <w:t xml:space="preserve">— 2.1 Our position</w:t>
      </w:r>
    </w:p>
    <w:p>
      <w:pPr>
        <w:spacing w:after="120"/>
      </w:pPr>
      <w:r>
        <w:t xml:space="preserve">We do not accept the apportionment of 9 working days to the Contractor under SP-7. We say the apportionment should be 0 working days, not 9, and that the full 30 working days of the gross slip should be granted as Employer-attributable EOT.</w:t>
      </w:r>
    </w:p>
    <w:p>
      <w:pPr>
        <w:pStyle w:val="Heading1"/>
        <w:pBdr>
          <w:bottom w:val="single" w:color="1F6FB2" w:sz="6"/>
        </w:pBdr>
        <w:spacing w:after="120" w:before="240"/>
      </w:pPr>
      <w:r>
        <w:rPr>
          <w:b/>
          <w:bCs/>
          <w:color w:val="0F2E4C"/>
        </w:rPr>
        <w:t xml:space="preserve">— 2.2 The activity the slip bites on</w:t>
      </w:r>
    </w:p>
    <w:p>
      <w:pPr>
        <w:spacing w:after="120"/>
      </w:pPr>
      <w:r>
        <w:t xml:space="preserve">Your determination (Section 1) records that the L4 structural handover by TP-001 Kallio was 9 working days late and that "this delay affected activity ST-1310". The contemporaneous record identifies the activity the slip bites on as </w:t>
      </w:r>
      <w:r>
        <w:rPr>
          <w:b/>
          <w:bCs/>
        </w:rPr>
        <w:t xml:space="preserve">ST-1300</w:t>
      </w:r>
      <w:r>
        <w:t xml:space="preserve"> (L4 structural handover), not ST-1310 (L4 fit-out commencement). ST-1310 is downstream and is unaffected by the L4 handover slip.</w:t>
      </w:r>
    </w:p>
    <w:p>
      <w:pPr>
        <w:spacing w:after="120"/>
      </w:pPr>
      <w:r>
        <w:rPr>
          <w:i/>
          <w:iCs/>
        </w:rPr>
        <w:t xml:space="preserve">Source:</w:t>
      </w:r>
      <w:r>
        <w:t xml:space="preserve"> PDC-PROG-P09 (Contractor's period 09 progress records, sheet "110 kV Impact Window", row 1) records the L4 slip on ST-1300. The same identification is used in the Contractor's claim PDC-CLM-001 at §3.3 (slip decomposition by activity) and in the PDC-REC-P11 TIA Extract (period 11 determination response records, "Affected activity" row). The TIA slip decomposition in PDC-CLM-001 Annex TIA §13.4 confirms that ST-1310 incurs zero working days of slip on the L4 event; ST-1310's slip is driven by EN-110 (the 110 kV event), not by ST-1300.</w:t>
      </w:r>
    </w:p>
    <w:p>
      <w:pPr>
        <w:spacing w:after="120"/>
      </w:pPr>
      <w:r>
        <w:t xml:space="preserve">We respectfully suggest that this mis-identification of the activity may have led your determination to overlook the float position recorded against it, which we address at §2.3 below.</w:t>
      </w:r>
    </w:p>
    <w:p>
      <w:pPr>
        <w:pStyle w:val="Heading1"/>
        <w:pBdr>
          <w:bottom w:val="single" w:color="1F6FB2" w:sz="6"/>
        </w:pBdr>
        <w:spacing w:after="120" w:before="240"/>
      </w:pPr>
      <w:r>
        <w:rPr>
          <w:b/>
          <w:bCs/>
          <w:color w:val="0F2E4C"/>
        </w:rPr>
        <w:t xml:space="preserve">— 2.3 The float position is dispositive</w:t>
      </w:r>
    </w:p>
    <w:p>
      <w:pPr>
        <w:spacing w:after="120"/>
      </w:pPr>
      <w:r>
        <w:t xml:space="preserve">Your determination (Section 1) concludes: "The Contractor's Time Impact Analysis is noted. The Engineer does not accept that the L4 delay is non-critical." You do not give reasons.</w:t>
      </w:r>
    </w:p>
    <w:p>
      <w:pPr>
        <w:spacing w:after="120"/>
      </w:pPr>
      <w:r>
        <w:t xml:space="preserve">The contemporaneous record on float, drawn from the Contractor's programming records as of the 30 November 2026 data date, is that ST-1300 carries </w:t>
      </w:r>
      <w:r>
        <w:rPr>
          <w:b/>
          <w:bCs/>
        </w:rPr>
        <w:t xml:space="preserve">55 working days of float in the baseline programme</w:t>
      </w:r>
      <w:r>
        <w:t xml:space="preserve"> and </w:t>
      </w:r>
      <w:r>
        <w:rPr>
          <w:b/>
          <w:bCs/>
        </w:rPr>
        <w:t xml:space="preserve">85 working days of float in the post-110 kV scenario programme</w:t>
      </w:r>
      <w:r>
        <w:t xml:space="preserve">.</w:t>
      </w:r>
    </w:p>
    <w:p>
      <w:pPr>
        <w:spacing w:after="120"/>
      </w:pPr>
      <w:r>
        <w:rPr>
          <w:i/>
          <w:iCs/>
        </w:rPr>
        <w:t xml:space="preserve">Source:</w:t>
      </w:r>
      <w:r>
        <w:t xml:space="preserve"> PDC-REC-P11 TIA Extract, "Float Position" row, prepared by the Contractor's programming team from the engine-computed network as of the 30 November 2026 data date. The same float figures are derived from PDC-PROG-P09, sheet "Critical Path — Nov 2026", and are reproduced in PDC-CLM-001 at §3.4 and §3.7. The Contractor formally invited your confirmation or correction of the impact sheet's float column in PDC-CLM-001 at §3.5 and Annex J §16.7; no correction has been received.</w:t>
      </w:r>
    </w:p>
    <w:p>
      <w:pPr>
        <w:spacing w:after="120"/>
      </w:pPr>
      <w:r>
        <w:t xml:space="preserve">A 9 working-day slip on an activity carrying 55 working days of float (baseline) is, by definition, wholly absorbed within float. It cannot, on the network, reach the project completion path. It is non-critical as a matter of arithmetic, not of argument.</w:t>
      </w:r>
    </w:p>
    <w:p>
      <w:pPr>
        <w:pStyle w:val="Heading1"/>
        <w:pBdr>
          <w:bottom w:val="single" w:color="1F6FB2" w:sz="6"/>
        </w:pBdr>
        <w:spacing w:after="120" w:before="240"/>
      </w:pPr>
      <w:r>
        <w:rPr>
          <w:b/>
          <w:bCs/>
          <w:color w:val="0F2E4C"/>
        </w:rPr>
        <w:t xml:space="preserve">— 2.4 SP-7 requires apportionment, not set-off</w:t>
      </w:r>
    </w:p>
    <w:p>
      <w:pPr>
        <w:spacing w:after="120"/>
      </w:pPr>
      <w:r>
        <w:t xml:space="preserve">Sub-Clause 8.5 of the General Conditions, as amended by SP-7 of the Particular Conditions (Rev C), requires the Engineer to apportion concurrent delay in a manner that is "fair and reasonable" having regard to the extent to which each delay event causes or would have caused delay to completion. SP-7 is not, and does not enact, a fixed-arithmetic 1:1 set-off rule under which any contemporaneous slip is automatically deducted from the Employer-attributable EOT. We respectfully note that the operative text of SP-7 is recorded in the Contractor's file note on the determination (PDC-CX-011 of 2 February 2027), and we invite you to confirm that this is also your reading.</w:t>
      </w:r>
    </w:p>
    <w:p>
      <w:pPr>
        <w:pStyle w:val="Heading1"/>
        <w:pBdr>
          <w:bottom w:val="single" w:color="1F6FB2" w:sz="6"/>
        </w:pBdr>
        <w:spacing w:after="120" w:before="240"/>
      </w:pPr>
      <w:r>
        <w:rPr>
          <w:b/>
          <w:bCs/>
          <w:color w:val="0F2E4C"/>
        </w:rPr>
        <w:t xml:space="preserve">— 2.5 Consequence and an internal inconsistency we invite you to confirm</w:t>
      </w:r>
    </w:p>
    <w:p>
      <w:pPr>
        <w:spacing w:after="120"/>
      </w:pPr>
      <w:r>
        <w:t xml:space="preserve">The Time for Completion should be extended by 30 working days, not 21. The prolongation cost at the agreed daily rate of EUR 4,492.68 per working day, applied to 30 working days, is </w:t>
      </w:r>
      <w:r>
        <w:rPr>
          <w:b/>
          <w:bCs/>
        </w:rPr>
        <w:t xml:space="preserve">EUR 134,780.40</w:t>
      </w:r>
      <w:r>
        <w:t xml:space="preserve">.</w:t>
      </w:r>
    </w:p>
    <w:p>
      <w:pPr>
        <w:spacing w:after="120"/>
      </w:pPr>
      <w:r>
        <w:t xml:space="preserve">We record for the avoidance of doubt an internal arithmetic point. Section 2 of your determination states the prolongation cost as </w:t>
      </w:r>
      <w:r>
        <w:rPr>
          <w:b/>
          <w:bCs/>
        </w:rPr>
        <w:t xml:space="preserve">EUR 107,824.32</w:t>
      </w:r>
      <w:r>
        <w:t xml:space="preserve">. That figure corresponds to 24 working days at the agreed rate of EUR 4,492.68 per working day (24 × 4,492.68 = 107,824.32). The 21 working days stated as determined in Section 1, multiplied by the agreed EUR 4,492.68 rate, would give </w:t>
      </w:r>
      <w:r>
        <w:rPr>
          <w:b/>
          <w:bCs/>
        </w:rPr>
        <w:t xml:space="preserve">EUR 94,346.28</w:t>
      </w:r>
      <w:r>
        <w:t xml:space="preserve">, not EUR 107,824.32. We assume this is a typographical error, but flag it because we do not wish either Party to be held to an arithmetic position that does not reconcile with the days determined. We invite you to issue a corrigendum under Sub-Clause 3.7.2 clarifying the arithmetic.</w:t>
      </w:r>
    </w:p>
    <w:p>
      <w:pPr>
        <w:spacing w:after="120"/>
      </w:pPr>
      <w:r>
        <w:t xml:space="preserve">---</w:t>
      </w:r>
    </w:p>
    <w:p>
      <w:pPr>
        <w:pStyle w:val="Heading1"/>
        <w:pBdr>
          <w:bottom w:val="single" w:color="1F6FB2" w:sz="6"/>
        </w:pBdr>
        <w:spacing w:after="120" w:before="240"/>
      </w:pPr>
      <w:r>
        <w:rPr>
          <w:b/>
          <w:bCs/>
          <w:color w:val="0F2E4C"/>
        </w:rPr>
        <w:t xml:space="preserve">Section 3 — Head B: the EUR 6,800 temporary-power disallowance (cost)</w:t>
      </w:r>
    </w:p>
    <w:p>
      <w:pPr>
        <w:pStyle w:val="Heading1"/>
        <w:pBdr>
          <w:bottom w:val="single" w:color="1F6FB2" w:sz="6"/>
        </w:pBdr>
        <w:spacing w:after="120" w:before="240"/>
      </w:pPr>
      <w:r>
        <w:rPr>
          <w:b/>
          <w:bCs/>
          <w:color w:val="0F2E4C"/>
        </w:rPr>
        <w:t xml:space="preserve">— 3.1 Our position</w:t>
      </w:r>
    </w:p>
    <w:p>
      <w:pPr>
        <w:spacing w:after="120"/>
      </w:pPr>
      <w:r>
        <w:t xml:space="preserve">We accept the disallowance of EUR 6,800 in respect of extended temporary power hire.</w:t>
      </w:r>
    </w:p>
    <w:p>
      <w:pPr>
        <w:pStyle w:val="Heading1"/>
        <w:pBdr>
          <w:bottom w:val="single" w:color="1F6FB2" w:sz="6"/>
        </w:pBdr>
        <w:spacing w:after="120" w:before="240"/>
      </w:pPr>
      <w:r>
        <w:rPr>
          <w:b/>
          <w:bCs/>
          <w:color w:val="0F2E4C"/>
        </w:rPr>
        <w:t xml:space="preserve">— 3.2 Reasoning</w:t>
      </w:r>
    </w:p>
    <w:p>
      <w:pPr>
        <w:spacing w:after="120"/>
      </w:pPr>
      <w:r>
        <w:t xml:space="preserve">Your determination (Section 3) records that invoice INV-SBI-2216 (EUR 6,800) "was included in Interim Payment Certificate No. 9 (IPC-09, 30.11.2026) under the head 'temporary works — power'". The IPC-09 extract at PDC-REC-P11 records the same certification. The cost was therefore already recovered in IPC-09 and cannot be recovered again under PDC-CLM-001. We accept that the determination is correct on this head.</w:t>
      </w:r>
    </w:p>
    <w:p>
      <w:pPr>
        <w:spacing w:after="120"/>
      </w:pPr>
      <w:r>
        <w:t xml:space="preserve">We accept your disallowance without protest. We confirm that the EUR 6,800 is removed from the cost-incurred schedule under Head 2 of PDC-CLM-001 §6.</w:t>
      </w:r>
    </w:p>
    <w:p>
      <w:pPr>
        <w:spacing w:after="120"/>
      </w:pPr>
      <w:r>
        <w:t xml:space="preserve">---</w:t>
      </w:r>
    </w:p>
    <w:p>
      <w:pPr>
        <w:pStyle w:val="Heading1"/>
        <w:pBdr>
          <w:bottom w:val="single" w:color="1F6FB2" w:sz="6"/>
        </w:pBdr>
        <w:spacing w:after="120" w:before="240"/>
      </w:pPr>
      <w:r>
        <w:rPr>
          <w:b/>
          <w:bCs/>
          <w:color w:val="0F2E4C"/>
        </w:rPr>
        <w:t xml:space="preserve">Section 4 — Head C: the EI-007 EUR 12,000 supervision/site management disallowance</w:t>
      </w:r>
    </w:p>
    <w:p>
      <w:pPr>
        <w:pStyle w:val="Heading1"/>
        <w:pBdr>
          <w:bottom w:val="single" w:color="1F6FB2" w:sz="6"/>
        </w:pBdr>
        <w:spacing w:after="120" w:before="240"/>
      </w:pPr>
      <w:r>
        <w:rPr>
          <w:b/>
          <w:bCs/>
          <w:color w:val="0F2E4C"/>
        </w:rPr>
        <w:t xml:space="preserve">— 4.1 Our position</w:t>
      </w:r>
    </w:p>
    <w:p>
      <w:pPr>
        <w:spacing w:after="120"/>
      </w:pPr>
      <w:r>
        <w:t xml:space="preserve">We do not accept the EUR 12,000 disallowance as currently reasoned. The Engineer has cited no Sub-Clause, no priced-Bill item, and no element of the rate build-up. We ask for the methodology below. Pending the Engineer's response, the Contractor maintains its interim valuation of EUR 489,122.80 as submitted under PDC-LTR-001-022 of 31 December 2026, and reserves its full contractual position.</w:t>
      </w:r>
    </w:p>
    <w:p>
      <w:pPr>
        <w:pStyle w:val="Heading1"/>
        <w:pBdr>
          <w:bottom w:val="single" w:color="1F6FB2" w:sz="6"/>
        </w:pBdr>
        <w:spacing w:after="120" w:before="240"/>
      </w:pPr>
      <w:r>
        <w:rPr>
          <w:b/>
          <w:bCs/>
          <w:color w:val="0F2E4C"/>
        </w:rPr>
        <w:t xml:space="preserve">— 4.2 The reasoning on the record is incomplete</w:t>
      </w:r>
    </w:p>
    <w:p>
      <w:pPr>
        <w:spacing w:after="120"/>
      </w:pPr>
      <w:r>
        <w:t xml:space="preserve">Your determination (Section 5) records the cut as follows: "deducting EUR 12,000.00 in respect of supervision and site management, which in the Engineer's view is already recovered within the priced Bill rates applied to the varied work."</w:t>
      </w:r>
    </w:p>
    <w:p>
      <w:pPr>
        <w:spacing w:after="120"/>
      </w:pPr>
      <w:r>
        <w:t xml:space="preserve">The determination cites no Sub-Clause (whether 13.3.1(c), SP-9, or otherwise), no priced-Bill item, and no element of the rate build-up. We are unable to engage with the cut on the record as it currently stands.</w:t>
      </w:r>
    </w:p>
    <w:p>
      <w:pPr>
        <w:pStyle w:val="Heading1"/>
        <w:pBdr>
          <w:bottom w:val="single" w:color="1F6FB2" w:sz="6"/>
        </w:pBdr>
        <w:spacing w:after="120" w:before="240"/>
      </w:pPr>
      <w:r>
        <w:rPr>
          <w:b/>
          <w:bCs/>
          <w:color w:val="0F2E4C"/>
        </w:rPr>
        <w:t xml:space="preserve">— 4.3 What we ask for</w:t>
      </w:r>
    </w:p>
    <w:p>
      <w:pPr>
        <w:spacing w:after="120"/>
      </w:pPr>
      <w:r>
        <w:t xml:space="preserve">We invite you, within 14 days of the date of this letter, to identify:</w:t>
      </w:r>
    </w:p>
    <w:p>
      <w:pPr>
        <w:spacing w:after="120"/>
      </w:pPr>
      <w:r>
        <w:t xml:space="preserve">(a) The priced Bill item or items on which the cut is based (we would expect either a Section A preliminaries line or a Section F unit-rate build-up entry);</w:t>
      </w:r>
    </w:p>
    <w:p>
      <w:pPr>
        <w:spacing w:after="120"/>
      </w:pPr>
      <w:r>
        <w:t xml:space="preserve">(b) The Sub-Clause under which the cut is made; and</w:t>
      </w:r>
    </w:p>
    <w:p>
      <w:pPr>
        <w:spacing w:after="120"/>
      </w:pPr>
      <w:r>
        <w:t xml:space="preserve">(c) The arithmetic by which the EUR 12,000 figure is derived from the priced Bill rates.</w:t>
      </w:r>
    </w:p>
    <w:p>
      <w:pPr>
        <w:spacing w:after="120"/>
      </w:pPr>
      <w:r>
        <w:t xml:space="preserve">We will consider your response and will either accept the cut or notify you of any remaining disagreement. We record that, pending your response, the EUR 12,000 is treated as </w:t>
      </w:r>
      <w:r>
        <w:rPr>
          <w:b/>
          <w:bCs/>
        </w:rPr>
        <w:t xml:space="preserve">disputed</w:t>
      </w:r>
      <w:r>
        <w:t xml:space="preserve"> and the interim valuation of EUR 489,122.80 submitted under PDC-LTR-001-022 of 31 December 2026 remains the Contractor's stated position.</w:t>
      </w:r>
    </w:p>
    <w:p>
      <w:pPr>
        <w:pStyle w:val="Heading1"/>
        <w:pBdr>
          <w:bottom w:val="single" w:color="1F6FB2" w:sz="6"/>
        </w:pBdr>
        <w:spacing w:after="120" w:before="240"/>
      </w:pPr>
      <w:r>
        <w:rPr>
          <w:b/>
          <w:bCs/>
          <w:color w:val="0F2E4C"/>
        </w:rPr>
        <w:t xml:space="preserve">— 4.4 Internal inconsistency</w:t>
      </w:r>
    </w:p>
    <w:p>
      <w:pPr>
        <w:spacing w:after="120"/>
      </w:pPr>
      <w:r>
        <w:t xml:space="preserve">For the avoidance of doubt, we record that the instruction EI-007 §4 itself excludes commissioning from the priced Bill ("Commissioning of the additional plant falls within the commissioning provision already in the Contract and is not to be re-priced under this instruction"). We invite you to confirm that the EUR 12,000 disallowance is consistent with that treatment.</w:t>
      </w:r>
    </w:p>
    <w:p>
      <w:pPr>
        <w:spacing w:after="120"/>
      </w:pPr>
      <w:r>
        <w:t xml:space="preserve">---</w:t>
      </w:r>
    </w:p>
    <w:p>
      <w:pPr>
        <w:pStyle w:val="Heading1"/>
        <w:pBdr>
          <w:bottom w:val="single" w:color="1F6FB2" w:sz="6"/>
        </w:pBdr>
        <w:spacing w:after="120" w:before="240"/>
      </w:pPr>
      <w:r>
        <w:rPr>
          <w:b/>
          <w:bCs/>
          <w:color w:val="0F2E4C"/>
        </w:rPr>
        <w:t xml:space="preserve">Section 5 — Restated quantum</w:t>
      </w:r>
    </w:p>
    <w:p>
      <w:pPr>
        <w:spacing w:after="120"/>
      </w:pPr>
      <w:r>
        <w:t xml:space="preserve">The Contractor's net push-back on PDC-CLM-001 is </w:t>
      </w:r>
      <w:r>
        <w:rPr>
          <w:b/>
          <w:bCs/>
        </w:rPr>
        <w:t xml:space="preserve">EUR 26,956.08</w:t>
      </w:r>
      <w:r>
        <w:t xml:space="preserve"> of prolongation cost (the difference between EUR 134,780.40 at 30 working days and EUR 107,824.32 as determined — the determined figure being, on our reading, internally inconsistent and addressed at §2.5 above), together with the 9 working days of EOT itself.</w:t>
      </w:r>
    </w:p>
    <w:p>
      <w:pPr>
        <w:spacing w:after="120"/>
      </w:pPr>
      <w:r>
        <w:t xml:space="preserve">The Contractor's disputed position on EI-007 is </w:t>
      </w:r>
      <w:r>
        <w:rPr>
          <w:b/>
          <w:bCs/>
        </w:rPr>
        <w:t xml:space="preserve">EUR 12,000</w:t>
      </w:r>
      <w:r>
        <w:t xml:space="preserve">, contingent on the priced-Bill rate build-up to be provided under Section 4 above.</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Head</w:t>
            </w:r>
          </w:p>
        </w:tc>
        <w:tc>
          <w:tcPr>
            <w:shd w:fill="0F2E4C" w:val="clear"/>
          </w:tcPr>
          <w:p>
            <w:pPr>
              <w:jc w:val="left"/>
            </w:pPr>
            <w:r>
              <w:rPr>
                <w:b/>
                <w:bCs/>
                <w:color w:val="FFFFFF"/>
              </w:rPr>
              <w:t xml:space="preserve">Claimed</w:t>
            </w:r>
          </w:p>
        </w:tc>
        <w:tc>
          <w:tcPr>
            <w:shd w:fill="0F2E4C" w:val="clear"/>
          </w:tcPr>
          <w:p>
            <w:pPr>
              <w:jc w:val="left"/>
            </w:pPr>
            <w:r>
              <w:rPr>
                <w:b/>
                <w:bCs/>
                <w:color w:val="FFFFFF"/>
              </w:rPr>
              <w:t xml:space="preserve">Determined</w:t>
            </w:r>
          </w:p>
        </w:tc>
        <w:tc>
          <w:tcPr>
            <w:shd w:fill="0F2E4C" w:val="clear"/>
          </w:tcPr>
          <w:p>
            <w:pPr>
              <w:jc w:val="left"/>
            </w:pPr>
            <w:r>
              <w:rPr>
                <w:b/>
                <w:bCs/>
                <w:color w:val="FFFFFF"/>
              </w:rPr>
              <w:t xml:space="preserve">Contractor's position</w:t>
            </w:r>
          </w:p>
        </w:tc>
      </w:tr>
      <w:tr>
        <w:trPr>
          <w:tblHeader w:val="false"/>
        </w:trPr>
        <w:tc>
          <w:p>
            <w:r>
              <w:t xml:space="preserve">EOT (110 kV event)</w:t>
            </w:r>
          </w:p>
        </w:tc>
        <w:tc>
          <w:p>
            <w:r>
              <w:t xml:space="preserve">30 wd</w:t>
            </w:r>
          </w:p>
        </w:tc>
        <w:tc>
          <w:p>
            <w:r>
              <w:t xml:space="preserve">21 wd</w:t>
            </w:r>
          </w:p>
        </w:tc>
        <w:tc>
          <w:p>
            <w:r>
              <w:rPr>
                <w:b/>
                <w:bCs/>
              </w:rPr>
              <w:t xml:space="preserve">30 wd</w:t>
            </w:r>
          </w:p>
        </w:tc>
      </w:tr>
      <w:tr>
        <w:trPr>
          <w:tblHeader w:val="false"/>
        </w:trPr>
        <w:tc>
          <w:tcPr>
            <w:shd w:fill="F5F5F5" w:val="clear"/>
          </w:tcPr>
          <w:p>
            <w:r>
              <w:t xml:space="preserve">Prolongation cost (EOT × EUR 4,492.68/wd)</w:t>
            </w:r>
          </w:p>
        </w:tc>
        <w:tc>
          <w:tcPr>
            <w:shd w:fill="F5F5F5" w:val="clear"/>
          </w:tcPr>
          <w:p>
            <w:r>
              <w:t xml:space="preserve">EUR 134,780.40</w:t>
            </w:r>
          </w:p>
        </w:tc>
        <w:tc>
          <w:tcPr>
            <w:shd w:fill="F5F5F5" w:val="clear"/>
          </w:tcPr>
          <w:p>
            <w:r>
              <w:t xml:space="preserve">EUR 107,824.32 (as written — see §2.5)</w:t>
            </w:r>
          </w:p>
        </w:tc>
        <w:tc>
          <w:tcPr>
            <w:shd w:fill="F5F5F5" w:val="clear"/>
          </w:tcPr>
          <w:p>
            <w:r>
              <w:rPr>
                <w:b/>
                <w:bCs/>
              </w:rPr>
              <w:t xml:space="preserve">EUR 134,780.40</w:t>
            </w:r>
          </w:p>
        </w:tc>
      </w:tr>
      <w:tr>
        <w:trPr>
          <w:tblHeader w:val="false"/>
        </w:trPr>
        <w:tc>
          <w:p>
            <w:r>
              <w:t xml:space="preserve">Cost-incurred Head 1 (deferred commissioning engineer, INV-SBI-2211)</w:t>
            </w:r>
          </w:p>
        </w:tc>
        <w:tc>
          <w:p>
            <w:r>
              <w:t xml:space="preserve">EUR 8,400.00</w:t>
            </w:r>
          </w:p>
        </w:tc>
        <w:tc>
          <w:p>
            <w:r>
              <w:t xml:space="preserve">EUR 8,400.00</w:t>
            </w:r>
          </w:p>
        </w:tc>
        <w:tc>
          <w:p>
            <w:r>
              <w:t xml:space="preserve">EUR 8,400.00</w:t>
            </w:r>
          </w:p>
        </w:tc>
      </w:tr>
      <w:tr>
        <w:trPr>
          <w:tblHeader w:val="false"/>
        </w:trPr>
        <w:tc>
          <w:tcPr>
            <w:shd w:fill="F5F5F5" w:val="clear"/>
          </w:tcPr>
          <w:p>
            <w:r>
              <w:t xml:space="preserve">Cost-incurred Head 3 (re-planning and re-sequencing, INV-SBI-2219)</w:t>
            </w:r>
          </w:p>
        </w:tc>
        <w:tc>
          <w:tcPr>
            <w:shd w:fill="F5F5F5" w:val="clear"/>
          </w:tcPr>
          <w:p>
            <w:r>
              <w:t xml:space="preserve">EUR 3,200.00</w:t>
            </w:r>
          </w:p>
        </w:tc>
        <w:tc>
          <w:tcPr>
            <w:shd w:fill="F5F5F5" w:val="clear"/>
          </w:tcPr>
          <w:p>
            <w:r>
              <w:t xml:space="preserve">EUR 3,200.00</w:t>
            </w:r>
          </w:p>
        </w:tc>
        <w:tc>
          <w:tcPr>
            <w:shd w:fill="F5F5F5" w:val="clear"/>
          </w:tcPr>
          <w:p>
            <w:r>
              <w:t xml:space="preserve">EUR 3,200.00</w:t>
            </w:r>
          </w:p>
        </w:tc>
      </w:tr>
      <w:tr>
        <w:trPr>
          <w:tblHeader w:val="false"/>
        </w:trPr>
        <w:tc>
          <w:p>
            <w:r>
              <w:t xml:space="preserve">Cost-incurred Head 2 (temp power, INV-SBI-2216)</w:t>
            </w:r>
          </w:p>
        </w:tc>
        <w:tc>
          <w:p>
            <w:r>
              <w:t xml:space="preserve">EUR 6,800.00</w:t>
            </w:r>
          </w:p>
        </w:tc>
        <w:tc>
          <w:p>
            <w:r>
              <w:t xml:space="preserve">EUR 0 (already in IPC-09)</w:t>
            </w:r>
          </w:p>
        </w:tc>
        <w:tc>
          <w:p>
            <w:r>
              <w:t xml:space="preserve">EUR 0 (accepted)</w:t>
            </w:r>
          </w:p>
        </w:tc>
      </w:tr>
      <w:tr>
        <w:trPr>
          <w:tblHeader w:val="false"/>
        </w:trPr>
        <w:tc>
          <w:tcPr>
            <w:shd w:fill="F5F5F5" w:val="clear"/>
          </w:tcPr>
          <w:p>
            <w:r>
              <w:rPr>
                <w:b/>
                <w:bCs/>
              </w:rPr>
              <w:t xml:space="preserve">Sub-total PDC-CLM-001</w:t>
            </w:r>
          </w:p>
        </w:tc>
        <w:tc>
          <w:tcPr>
            <w:shd w:fill="F5F5F5" w:val="clear"/>
          </w:tcPr>
          <w:p>
            <w:r>
              <w:rPr>
                <w:b/>
                <w:bCs/>
              </w:rPr>
              <w:t xml:space="preserve">EUR 153,180.40</w:t>
            </w:r>
          </w:p>
        </w:tc>
        <w:tc>
          <w:tcPr>
            <w:shd w:fill="F5F5F5" w:val="clear"/>
          </w:tcPr>
          <w:p>
            <w:r>
              <w:rPr>
                <w:b/>
                <w:bCs/>
              </w:rPr>
              <w:t xml:space="preserve">EUR 119,424.32</w:t>
            </w:r>
          </w:p>
        </w:tc>
        <w:tc>
          <w:tcPr>
            <w:shd w:fill="F5F5F5" w:val="clear"/>
          </w:tcPr>
          <w:p>
            <w:r>
              <w:rPr>
                <w:b/>
                <w:bCs/>
              </w:rPr>
              <w:t xml:space="preserve">EUR 146,380.40</w:t>
            </w:r>
          </w:p>
        </w:tc>
      </w:tr>
      <w:tr>
        <w:trPr>
          <w:tblHeader w:val="false"/>
        </w:trPr>
        <w:tc>
          <w:p>
            <w:r>
              <w:t xml:space="preserve">EI-007 interim valuation</w:t>
            </w:r>
          </w:p>
        </w:tc>
        <w:tc>
          <w:p>
            <w:r>
              <w:t xml:space="preserve">EUR 489,122.80</w:t>
            </w:r>
          </w:p>
        </w:tc>
        <w:tc>
          <w:p>
            <w:r>
              <w:t xml:space="preserve">EUR 477,122.80</w:t>
            </w:r>
          </w:p>
        </w:tc>
        <w:tc>
          <w:p>
            <w:r>
              <w:t xml:space="preserve">EUR 489,122.80 (disputed)</w:t>
            </w:r>
          </w:p>
        </w:tc>
      </w:tr>
    </w:tbl>
    <w:p/>
    <w:p>
      <w:pPr>
        <w:pStyle w:val="Heading1"/>
        <w:pBdr>
          <w:bottom w:val="single" w:color="1F6FB2" w:sz="6"/>
        </w:pBdr>
        <w:spacing w:after="120" w:before="240"/>
      </w:pPr>
      <w:r>
        <w:rPr>
          <w:b/>
          <w:bCs/>
          <w:color w:val="0F2E4C"/>
        </w:rPr>
        <w:t xml:space="preserve">Section 6 — Notice of Dissatisfaction under Sub-Clause 3.7.5</w:t>
      </w:r>
    </w:p>
    <w:p>
      <w:pPr>
        <w:spacing w:after="120"/>
      </w:pPr>
      <w:r>
        <w:t xml:space="preserve">We record, in accordance with Sub-Clause 3.7.5 of the General Conditions as applied to the executed Rev C of the Particular Conditions (operative text reproduced in PDC-CX-011 of 2 February 2027), that the Contractor is dissatisfied with the determination in two respects, as follows.</w:t>
      </w:r>
    </w:p>
    <w:p>
      <w:pPr>
        <w:spacing w:after="120"/>
      </w:pPr>
      <w:r>
        <w:rPr>
          <w:b/>
          <w:bCs/>
        </w:rPr>
        <w:t xml:space="preserve">Head A — the 9 working-day EOT cut.</w:t>
      </w:r>
      <w:r>
        <w:t xml:space="preserve"> The Contractor is dissatisfied with the determination insofar as it apportions 9 working days of the 110 kV event slip to the Contractor under SP-7. The reasons are set out in Section 2 of this letter.</w:t>
      </w:r>
    </w:p>
    <w:p>
      <w:pPr>
        <w:spacing w:after="120"/>
      </w:pPr>
      <w:r>
        <w:rPr>
          <w:b/>
          <w:bCs/>
        </w:rPr>
        <w:t xml:space="preserve">Head B — the EI-007 EUR 12,000 disallowance.</w:t>
      </w:r>
      <w:r>
        <w:t xml:space="preserve"> The Contractor is dissatisfied with the determination insofar as it deducts EUR 12,000 from the EI-007 interim valuation in respect of supervision and site management, on the ground that the determination does not on its face identify the contractual basis for the deduction. The reasons are set out in Section 4 of this letter.</w:t>
      </w:r>
    </w:p>
    <w:p>
      <w:pPr>
        <w:spacing w:after="120"/>
      </w:pPr>
      <w:r>
        <w:t xml:space="preserve">This letter is given within 28 days of the Contractor's receipt of the determination on 15 January 2027. This letter constitutes a Notice of Dissatisfaction under Sub-Clause 3.7.5 in respect of both Head A (the 9 working-day EOT cut) and Head B (the EI-007 EUR 12,000 disallowance).</w:t>
      </w:r>
    </w:p>
    <w:p>
      <w:pPr>
        <w:spacing w:after="120"/>
      </w:pPr>
      <w:r>
        <w:t xml:space="preserve">The Contractor does not, by this letter, dispute the EUR 6,800 temporary-power disallowance, which is accepted (Section 3 above).</w:t>
      </w:r>
    </w:p>
    <w:p>
      <w:pPr>
        <w:spacing w:after="120"/>
      </w:pPr>
      <w:r>
        <w:t xml:space="preserve">---</w:t>
      </w:r>
    </w:p>
    <w:p>
      <w:pPr>
        <w:pStyle w:val="Heading1"/>
        <w:pBdr>
          <w:bottom w:val="single" w:color="1F6FB2" w:sz="6"/>
        </w:pBdr>
        <w:spacing w:after="120" w:before="240"/>
      </w:pPr>
      <w:r>
        <w:rPr>
          <w:b/>
          <w:bCs/>
          <w:color w:val="0F2E4C"/>
        </w:rPr>
        <w:t xml:space="preserve">Section 7 — Reservation of rights</w:t>
      </w:r>
    </w:p>
    <w:p>
      <w:pPr>
        <w:spacing w:after="120"/>
      </w:pPr>
      <w:r>
        <w:t xml:space="preserve">Without prejudice to the foregoing, the Contractor reserves all rights arising under the Contract, including in respect of:</w:t>
      </w:r>
    </w:p>
    <w:p>
      <w:pPr>
        <w:spacing w:after="120"/>
      </w:pPr>
      <w:r>
        <w:t xml:space="preserve">(a) The deemed-validity of PDC-NOT-009 under Sub-Clause 20.2.2 (as reinstated by Rev C Particular Conditions SP-15) as recorded in PDC-CLM-001 §2.3 — in particular, that the Engineer's Sub-Clause 20.2.2 non-compliance letter PDC-LTR-PMC-021 was given 19 days after receipt of the Notice, 5 days after the expiry of the 14-day window stipulated in the Rev C wording, and that the second paragraph of Sub-Clause 20.2.2 (Rev C wording) deems the Notice valid in those circumstances;</w:t>
      </w:r>
    </w:p>
    <w:p>
      <w:pPr>
        <w:spacing w:after="120"/>
      </w:pPr>
      <w:r>
        <w:t xml:space="preserve">(b) Any future disagreement on the EI-007 interim valuation following receipt of the priced-Bill rate build-up requested at Section 4 above, including the right to develop this Notice of Dissatisfaction with further particulars in the light of the Engineer's response;</w:t>
      </w:r>
    </w:p>
    <w:p>
      <w:pPr>
        <w:spacing w:after="120"/>
      </w:pPr>
      <w:r>
        <w:t xml:space="preserve">(c) The Contractor's right to refer any unresolved dispute to the Dispute Adjudication Board in accordance with Sub-Clause 21.4; and</w:t>
      </w:r>
    </w:p>
    <w:p>
      <w:pPr>
        <w:spacing w:after="120"/>
      </w:pPr>
      <w:r>
        <w:t xml:space="preserve">(d) Cost and time consequences arising from any subsequent Engineer instruction to compress or recover the period addressed in Section 2 above, which would constitute an acceleration instruction attracting its own entitlement under the Contract.</w:t>
      </w:r>
    </w:p>
    <w:p>
      <w:pPr>
        <w:spacing w:after="120"/>
      </w:pPr>
      <w:r>
        <w:t xml:space="preserve">---</w:t>
      </w:r>
    </w:p>
    <w:p>
      <w:pPr>
        <w:spacing w:after="120"/>
      </w:pPr>
      <w:r>
        <w:t xml:space="preserve">We would welcome an early meeting to discuss Sections 2 and 4 if you consider that helpful. Any agreement reached at such a meeting would be without prejudice to the Contractor's position under Sub-Clause 3.7.5 as recorded at Section 6 above.</w:t>
      </w:r>
    </w:p>
    <w:p>
      <w:pPr>
        <w:spacing w:after="120"/>
      </w:pPr>
      <w:r>
        <w:t xml:space="preserve">Yours faithfully,</w:t>
      </w:r>
    </w:p>
    <w:p>
      <w:pPr>
        <w:spacing w:after="120"/>
      </w:pPr>
      <w:r>
        <w:rPr>
          <w:b/>
          <w:bCs/>
        </w:rPr>
        <w:t xml:space="preserve">J. Korhonen</w:t>
      </w:r>
      <w:r>
        <w:t xml:space="preserve"> Commercial Director Suomen Betoni-Infra Oy</w:t>
      </w:r>
    </w:p>
    <w:p>
      <w:pPr>
        <w:spacing w:after="120"/>
      </w:pPr>
      <w:r>
        <w:t xml:space="preserve">cc: SBI Site Management (DM); SBI Planning (JN); SBI Legal (file)</w:t>
      </w:r>
    </w:p>
    <w:p>
      <w:pPr>
        <w:spacing w:after="120"/>
      </w:pPr>
      <w:r>
        <w:t xml:space="preserve">---</w:t>
      </w:r>
    </w:p>
    <w:p>
      <w:pPr>
        <w:pStyle w:val="Heading1"/>
        <w:pBdr>
          <w:bottom w:val="single" w:color="1F6FB2" w:sz="6"/>
        </w:pBdr>
        <w:spacing w:after="120" w:before="240"/>
      </w:pPr>
      <w:r>
        <w:rPr>
          <w:b/>
          <w:bCs/>
          <w:color w:val="0F2E4C"/>
        </w:rPr>
        <w:t xml:space="preserve">Enclosures (for the file)</w:t>
      </w:r>
    </w:p>
    <w:p>
      <w:pPr>
        <w:spacing w:after="120"/>
      </w:pPr>
      <w:r>
        <w:t xml:space="preserve">1. PDC-PROG-P09 — sheet "110 kV Impact Window", row 1 (L4 slip on ST-1300). 2. PDC-REC-P11 — TIA Extract, "Affected activity" and "Float Position" rows. 3. PDC-CLM-001 — §3.3 (slip decomposition), §3.4 and §3.7 (float position), §2.3 (Sub-Clause 20.2.2 deemed-validity). 4. PDC-CX-011 — Sub-Clause 3.7.5 operative text. 5. PDC-LTR-PMC-025 — the determination letter addressed. 6. PDC-LTR-001-022 — interim valuation letter for EI-007.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C1C1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2026-08-12T02:43:33.111Z</dcterms:created>
  <dcterms:modified xsi:type="dcterms:W3CDTF">2026-08-12T02:43:33.111Z</dcterms:modified>
</cp:coreProperties>
</file>

<file path=docProps/custom.xml><?xml version="1.0" encoding="utf-8"?>
<Properties xmlns="http://schemas.openxmlformats.org/officeDocument/2006/custom-properties" xmlns:vt="http://schemas.openxmlformats.org/officeDocument/2006/docPropsVTypes"/>
</file>