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00" w:lineRule="exact"/>
        <w:jc w:val="center"/>
      </w:pPr>
      <w:r>
        <w:rPr>
          <w:b/>
          <w:color w:val="1A365D"/>
          <w:sz w:val="44"/>
        </w:rPr>
        <w:t>Technical Proposal</w:t>
      </w:r>
    </w:p>
    <w:p>
      <w:pPr>
        <w:spacing w:before="0" w:after="240" w:line="200" w:lineRule="exact"/>
        <w:jc w:val="center"/>
      </w:pPr>
      <w:r>
        <w:rPr>
          <w:color w:val="4472C4"/>
          <w:sz w:val="28"/>
        </w:rPr>
        <w:t>Zeta Pharma Commercial Platform</w:t>
      </w:r>
    </w:p>
    <w:p>
      <w:pPr>
        <w:spacing w:before="0" w:after="160" w:line="200" w:lineRule="exact"/>
        <w:jc w:val="center"/>
      </w:pPr>
      <w:r>
        <w:rPr>
          <w:color w:val="666666"/>
          <w:sz w:val="20"/>
        </w:rPr>
        <w:t>Prepared for: Zeta Pharma</w:t>
        <w:br/>
        <w:t>Submitted by: Cloudastick Systems — Salesforce Partner</w:t>
        <w:br/>
        <w:t>June 2026</w:t>
      </w:r>
    </w:p>
    <w:p>
      <w:pPr>
        <w:spacing w:before="0" w:after="80" w:line="200" w:lineRule="exact"/>
      </w:pPr>
      <w:r>
        <w:rPr>
          <w:b/>
          <w:color w:val="1A365D"/>
          <w:sz w:val="22"/>
        </w:rPr>
        <w:t>Technical Scope — Modules &amp; Enablement Points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Home Page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view territory-scoped KPIs (coverage %, RF% by A/B/C), today's route map, and Top 5 Next Best Customers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access team KPI tiles and workforce headcount from Management Home with BU → Line → District drill-down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see organization-wide snapshots, 6-month visit trends, and BU performance cards on Executive Home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Planner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plan the week on a drag-and-drop calendar with account sidebar, map pins, and OSRM route optimization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view and coach on a rep's weekly plan and scheduled visits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Time Off Territory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submit leave requests from the planner palette, integrated with KPI and time-card calculations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approve, reject, or bulk-process TOT requests with overlap validation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Visit / Call Report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log structured HCP visits (attendees, products, messages, samples, CLM) on desktop and mobile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review submitted calls and double-visit coaching linkage in MR 360 reports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link field visits to strategic launch projects for closed-loop tracking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MSLs to trace products discussed, CLM sessions, and inquiries back to source visits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connect visit execution to launch projects and promo budget lines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Sample Distribution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issue lot-tracked samples from inventory with validation; auto-deduct on visit completion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audit sample transactions and compliance via account and rep reports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CLM (Closed Loop Marketing)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launch territory-targeted presentations with per-slide dwell-time and HCP message feedback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monitor CLM adoption % and presentation usage across the team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review CLM session counts and message effectiveness rollups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MSLs to govern scientific content usage via CLM adoption and presentation analytics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upload, sequence, target, and publish approved presentations via Admin Console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WhatsApp Reminder &amp; Product Survey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send meeting reminders and post-visit product survey links to HCPs via WhatsApp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track HCP survey sentiment and message feedback by product and rep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Accounts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view HCP, Pharmacy, Institution, and Business Contact profiles with ATF/ATPF segmentation and visit history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review account coverage and classification distribution by territory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MSLs to access consolidated HCP and Institution profiles with specialty depth and activity timeline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Accounts Management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search and filter territory accounts from the Accounts Tab by record type, specialty, classification, and brick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manage territory account alignment, ATF/ATPF classifications, and field-force account seeding via Admin Console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design account and territory rating layouts that feed ATF/ATPF segmentation forms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Affiliations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view pharmacy–HCP relationship networks on account record pages and add affiliated contacts as visit attendees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connect rising pharmacy sell-out to affiliated HCPs for visit recommendations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link market data to field action via affiliation-informed planning insights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Affiliations Management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create and maintain Account Affiliation records (type, role, strength) linking HCPs, pharmacies, and institutions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filter affiliation networks by role, type, strength, inactive status, and outside-territory flags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MSLs to manage HCP–institution and influencer relationships for scientific engagement mapping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Coaching Events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participate in dual-score competency evaluations during double visits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conduct, score, and review field coaching events with gap analysis and score trends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configure coaching templates and competency sections via Admin Console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Medical Inquiry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raise HCP medical questions to Medical Affairs directly from a visit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MSLs to receive, respond to, and close inquiries routed via the Medical Affairs Case queue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Management Home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monitor team KPIs, Egypt coverage heat maps, and HQ announcements with hierarchy drill-down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access the same workforce and KPI command center scoped to the full organization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Medical Rep 360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review rep performance — calls, coverage, LCF/RCF/MCF frequency, CLM %, coaching scores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identify top performers and underperformers across business units</w:t>
      </w:r>
    </w:p>
    <w:p>
      <w:r>
        <w:br w:type="page"/>
      </w:r>
    </w:p>
    <w:p>
      <w:pPr>
        <w:spacing w:before="0" w:after="80" w:line="200" w:lineRule="exact"/>
      </w:pPr>
      <w:r>
        <w:rPr>
          <w:b/>
          <w:color w:val="1A365D"/>
          <w:sz w:val="22"/>
        </w:rPr>
        <w:t>Technical Scope — Modules &amp; Enablement Points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Reports Hub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navigate to Working Days Analysis, MR 360, and Pharmacy Sales dashboards from one tile gallery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Pharmacy Sell-Out Analytics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view distributor withdrawal data, ROI trends, and governorate-level coverage heat maps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access AI-driven planning recommendations (Agentforce) linking sell-out to field actions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import IbnSina and Pharmaoverseas CSV feeds with pharmacy matching and validation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Admin Console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configure CLM, territories, bricks, products, plan cycles, coaching templates, and sales data (SFE/RM)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manage product catalog, PTA alignment, rating layouts, and CLM content lifecycle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Territory Alignment &amp; Bricks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manage ATF/ATPF/PTA targeting, IQVIA IMS bricks, and pharmacy brick membership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align products to territories and control which products reps can detail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Executive Home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view org KPI snapshots, visit trends, BU cards, workforce roster, and top performers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Project Management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track product launches and campaigns — budget vs spend, milestones, KPIs, account goals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create projects, assign teams, and link field activities to launch execution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Promo Budget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monitor promotional spend allocation and utilization by business unit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link promo budget lines to launch projects and field visit execution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Cross-Department Collaboration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coordinate requests across Promo, Sales, and Medical Affairs department islands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MSLs to collaborate cross-functionally via the Medical Affairs department island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Product Catalog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product managers to manage the pharma product portfolio and brand hierarchy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view territory-aligned products available for detailing during visits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Employee Plan Cycle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work against monthly visit targets set in employee time cards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manage plan cycles, coverage targets, and copy plans between months via Plan Manager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Agentforce &amp; Einstein Insights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reps to receive Next Best Customer recommendations and visit context briefs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apply AI-driven pharmacy sell-out recommendations to field planning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access planning vision sessions and sell-out-to-action orchestration</w:t>
      </w:r>
    </w:p>
    <w:p>
      <w:pPr>
        <w:spacing w:before="60" w:after="20" w:line="200" w:lineRule="exact"/>
      </w:pPr>
      <w:r>
        <w:rPr>
          <w:b/>
          <w:color w:val="1A365D"/>
          <w:sz w:val="18"/>
        </w:rPr>
        <w:t>Integrations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managers to monitor connectors for maps, IMS bricks, IbnSina, Pharmaoverseas, and Mendix via Admin Console</w:t>
      </w:r>
    </w:p>
    <w:p>
      <w:pPr>
        <w:pStyle w:val="ListBullet"/>
        <w:spacing w:before="0" w:after="0" w:line="180" w:lineRule="exact"/>
      </w:pPr>
      <w:r>
        <w:rPr>
          <w:sz w:val="15"/>
        </w:rPr>
        <w:t>Enable executives to view Mendix sync logs and external platform integration status</w:t>
      </w:r>
    </w:p>
    <w:p>
      <w:r>
        <w:br w:type="page"/>
      </w:r>
    </w:p>
    <w:p>
      <w:pPr>
        <w:spacing w:before="0" w:after="120" w:line="200" w:lineRule="exact"/>
      </w:pPr>
      <w:r>
        <w:rPr>
          <w:b/>
          <w:color w:val="1A365D"/>
          <w:sz w:val="24"/>
        </w:rPr>
        <w:t>Delivery Timeline &amp; Phases</w:t>
      </w:r>
    </w:p>
    <w:p>
      <w:pPr>
        <w:spacing w:before="0" w:after="160" w:line="220" w:lineRule="exact"/>
      </w:pPr>
      <w:r>
        <w:rPr>
          <w:sz w:val="18"/>
        </w:rPr>
        <w:t>Total elapsed time from discovery kickoff to go-live: approximately 26 weeks (~6 months). Support begins at go-live and continues for the selected term (1, 3, or 5 years).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shd w:fill="1A365D"/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080"/>
            <w:shd w:fill="1A365D"/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600"/>
            <w:shd w:fill="1A365D"/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6"/>
              </w:rPr>
              <w:t>Key Activities</w:t>
            </w:r>
          </w:p>
        </w:tc>
        <w:tc>
          <w:tcPr>
            <w:tcW w:type="dxa" w:w="2376"/>
            <w:shd w:fill="1A365D"/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6"/>
              </w:rPr>
              <w:t>Deliverables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1. Discovery</w:t>
            </w:r>
          </w:p>
        </w:tc>
        <w:tc>
          <w:tcPr>
            <w:tcW w:type="dxa" w:w="108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4 weeks</w:t>
            </w:r>
          </w:p>
        </w:tc>
        <w:tc>
          <w:tcPr>
            <w:tcW w:type="dxa" w:w="360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Zeta-specific requirements workshops; territory/product/CLM inventory; integration mapping; data migration assessment</w:t>
            </w:r>
          </w:p>
        </w:tc>
        <w:tc>
          <w:tcPr>
            <w:tcW w:type="dxa" w:w="2376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Signed requirements doc, gap analysis, project plan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2. Implementation</w:t>
            </w:r>
          </w:p>
        </w:tc>
        <w:tc>
          <w:tcPr>
            <w:tcW w:type="dxa" w:w="108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14 weeks</w:t>
            </w:r>
          </w:p>
        </w:tc>
        <w:tc>
          <w:tcPr>
            <w:tcW w:type="dxa" w:w="360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Org configuration; module deployment (51 packages); Zeta branding; territory/ATF seed; CLM content load; Einstein/Agentforce setup; integration build</w:t>
            </w:r>
          </w:p>
        </w:tc>
        <w:tc>
          <w:tcPr>
            <w:tcW w:type="dxa" w:w="2376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Configured sandbox + partial production deploy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3. UAT</w:t>
            </w:r>
          </w:p>
        </w:tc>
        <w:tc>
          <w:tcPr>
            <w:tcW w:type="dxa" w:w="108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4 weeks</w:t>
            </w:r>
          </w:p>
        </w:tc>
        <w:tc>
          <w:tcPr>
            <w:tcW w:type="dxa" w:w="360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Rep/manager/executive/MSL test scripts; defect triage; compliance sign-off</w:t>
            </w:r>
          </w:p>
        </w:tc>
        <w:tc>
          <w:tcPr>
            <w:tcW w:type="dxa" w:w="2376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UAT sign-off, defect closure report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4. Training</w:t>
            </w:r>
          </w:p>
        </w:tc>
        <w:tc>
          <w:tcPr>
            <w:tcW w:type="dxa" w:w="108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3 weeks</w:t>
            </w:r>
          </w:p>
        </w:tc>
        <w:tc>
          <w:tcPr>
            <w:tcW w:type="dxa" w:w="360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Role-based training (5 personas); admin/SFE train-the-trainer; quick-reference guides</w:t>
            </w:r>
          </w:p>
        </w:tc>
        <w:tc>
          <w:tcPr>
            <w:tcW w:type="dxa" w:w="2376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Training completion records, admin runbook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5. Go Live</w:t>
            </w:r>
          </w:p>
        </w:tc>
        <w:tc>
          <w:tcPr>
            <w:tcW w:type="dxa" w:w="108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1 week</w:t>
            </w:r>
          </w:p>
        </w:tc>
        <w:tc>
          <w:tcPr>
            <w:tcW w:type="dxa" w:w="360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Production cutover; hypercare war room; go/no-go checklist</w:t>
            </w:r>
          </w:p>
        </w:tc>
        <w:tc>
          <w:tcPr>
            <w:tcW w:type="dxa" w:w="2376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Live production org, hypercare log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6. Support</w:t>
            </w:r>
          </w:p>
        </w:tc>
        <w:tc>
          <w:tcPr>
            <w:tcW w:type="dxa" w:w="108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1 / 3 / 5 years</w:t>
            </w:r>
          </w:p>
        </w:tc>
        <w:tc>
          <w:tcPr>
            <w:tcW w:type="dxa" w:w="3600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Quarterly health checks; bug fixes; minor enhancements; Salesforce release prep</w:t>
            </w:r>
          </w:p>
        </w:tc>
        <w:tc>
          <w:tcPr>
            <w:tcW w:type="dxa" w:w="2376"/>
          </w:tcPr>
          <w:p>
            <w:pPr>
              <w:spacing w:before="0" w:after="0" w:line="220" w:lineRule="exact"/>
            </w:pPr>
            <w:r>
              <w:rPr>
                <w:sz w:val="16"/>
              </w:rPr>
              <w:t>SLA-backed support (see Investment Summary)</w:t>
            </w:r>
          </w:p>
        </w:tc>
      </w:tr>
    </w:tbl>
    <w:p/>
    <w:p>
      <w:pPr>
        <w:spacing w:before="120" w:after="0" w:line="200" w:lineRule="exact"/>
        <w:jc w:val="center"/>
      </w:pPr>
      <w:r>
        <w:rPr>
          <w:b/>
          <w:color w:val="4472C4"/>
          <w:sz w:val="16"/>
        </w:rPr>
        <w:t>Discovery (4w)  →  Implementation (14w)  →  UAT (4w)  →  Training (3w)  →  Go Live (1w)  →  Support (1/3/5 yr)</w:t>
      </w:r>
    </w:p>
    <w:p>
      <w:r>
        <w:br w:type="page"/>
      </w:r>
    </w:p>
    <w:p>
      <w:pPr>
        <w:spacing w:before="0" w:after="200" w:line="200" w:lineRule="exact"/>
      </w:pPr>
      <w:r>
        <w:rPr>
          <w:b/>
          <w:color w:val="1A365D"/>
          <w:sz w:val="28"/>
        </w:rPr>
        <w:t>Investment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120"/>
            <w:shd w:fill="D9D9D9"/>
          </w:tcPr>
          <w:p>
            <w:pPr>
              <w:spacing w:before="0" w:after="0" w:line="220" w:lineRule="exact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20"/>
            <w:shd w:fill="D9D9D9"/>
          </w:tcPr>
          <w:p>
            <w:pPr>
              <w:spacing w:before="0" w:after="0" w:line="220" w:lineRule="exact"/>
            </w:pPr>
            <w:r>
              <w:rPr>
                <w:b/>
                <w:sz w:val="18"/>
              </w:rPr>
              <w:t>Estimated Cost</w:t>
            </w:r>
          </w:p>
        </w:tc>
      </w:tr>
      <w:tr>
        <w:tc>
          <w:tcPr>
            <w:tcW w:type="dxa" w:w="61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Implementation:</w:t>
              <w:br/>
              <w:t>Discovery, Implementation, UAT, Training, Go-Live</w:t>
            </w:r>
          </w:p>
        </w:tc>
        <w:tc>
          <w:tcPr>
            <w:tcW w:type="dxa" w:w="25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EGP 6,240,000</w:t>
            </w:r>
          </w:p>
        </w:tc>
      </w:tr>
      <w:tr>
        <w:tc>
          <w:tcPr>
            <w:tcW w:type="dxa" w:w="61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Annual Support (1 Year)</w:t>
              <w:br/>
              <w:t>Longer commitment = lower annual rate</w:t>
            </w:r>
          </w:p>
        </w:tc>
        <w:tc>
          <w:tcPr>
            <w:tcW w:type="dxa" w:w="25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EGP 1,000,000 / year</w:t>
            </w:r>
          </w:p>
        </w:tc>
      </w:tr>
      <w:tr>
        <w:tc>
          <w:tcPr>
            <w:tcW w:type="dxa" w:w="61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Annual Support (3 Years)</w:t>
            </w:r>
          </w:p>
        </w:tc>
        <w:tc>
          <w:tcPr>
            <w:tcW w:type="dxa" w:w="25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EGP 750,000 / year</w:t>
            </w:r>
          </w:p>
        </w:tc>
      </w:tr>
      <w:tr>
        <w:tc>
          <w:tcPr>
            <w:tcW w:type="dxa" w:w="61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Annual Support (5 Years)</w:t>
            </w:r>
          </w:p>
        </w:tc>
        <w:tc>
          <w:tcPr>
            <w:tcW w:type="dxa" w:w="252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EGP 600,000 / year</w:t>
            </w:r>
          </w:p>
        </w:tc>
      </w:tr>
      <w:tr>
        <w:tc>
          <w:tcPr>
            <w:tcW w:type="dxa" w:w="6120"/>
          </w:tcPr>
          <w:p>
            <w:pPr>
              <w:spacing w:before="0" w:after="0" w:line="220" w:lineRule="exact"/>
            </w:pPr>
            <w:r>
              <w:rPr>
                <w:b/>
                <w:sz w:val="18"/>
              </w:rPr>
              <w:t>Total Implementation</w:t>
            </w:r>
          </w:p>
        </w:tc>
        <w:tc>
          <w:tcPr>
            <w:tcW w:type="dxa" w:w="2520"/>
          </w:tcPr>
          <w:p>
            <w:pPr>
              <w:spacing w:before="0" w:after="0" w:line="220" w:lineRule="exact"/>
            </w:pPr>
            <w:r>
              <w:rPr>
                <w:b/>
                <w:sz w:val="18"/>
              </w:rPr>
              <w:t>EGP 6,240,000</w:t>
            </w:r>
          </w:p>
        </w:tc>
      </w:tr>
    </w:tbl>
    <w:p/>
    <w:p>
      <w:pPr>
        <w:spacing w:before="160" w:after="120" w:line="200" w:lineRule="exact"/>
      </w:pPr>
      <w:r>
        <w:rPr>
          <w:b/>
          <w:color w:val="1A365D"/>
          <w:sz w:val="22"/>
        </w:rPr>
        <w:t>Payment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shd w:fill="D9D9D9"/>
          </w:tcPr>
          <w:p>
            <w:pPr>
              <w:spacing w:before="0" w:after="0" w:line="220" w:lineRule="exact"/>
            </w:pPr>
            <w:r>
              <w:rPr>
                <w:b/>
                <w:sz w:val="18"/>
              </w:rPr>
              <w:t>Installment</w:t>
            </w:r>
          </w:p>
        </w:tc>
        <w:tc>
          <w:tcPr>
            <w:tcW w:type="dxa" w:w="4680"/>
            <w:shd w:fill="D9D9D9"/>
          </w:tcPr>
          <w:p>
            <w:pPr>
              <w:spacing w:before="0" w:after="0" w:line="220" w:lineRule="exac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160"/>
            <w:shd w:fill="D9D9D9"/>
          </w:tcPr>
          <w:p>
            <w:pPr>
              <w:spacing w:before="0" w:after="0" w:line="220" w:lineRule="exact"/>
            </w:pPr>
            <w:r>
              <w:rPr>
                <w:b/>
                <w:sz w:val="18"/>
              </w:rPr>
              <w:t>Percentage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1st</w:t>
            </w:r>
          </w:p>
        </w:tc>
        <w:tc>
          <w:tcPr>
            <w:tcW w:type="dxa" w:w="468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Project kickoff</w:t>
            </w:r>
          </w:p>
        </w:tc>
        <w:tc>
          <w:tcPr>
            <w:tcW w:type="dxa" w:w="216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2nd</w:t>
            </w:r>
          </w:p>
        </w:tc>
        <w:tc>
          <w:tcPr>
            <w:tcW w:type="dxa" w:w="468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Discovery sign-off</w:t>
            </w:r>
          </w:p>
        </w:tc>
        <w:tc>
          <w:tcPr>
            <w:tcW w:type="dxa" w:w="216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3rd</w:t>
            </w:r>
          </w:p>
        </w:tc>
        <w:tc>
          <w:tcPr>
            <w:tcW w:type="dxa" w:w="468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UAT sign-off</w:t>
            </w:r>
          </w:p>
        </w:tc>
        <w:tc>
          <w:tcPr>
            <w:tcW w:type="dxa" w:w="216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4th</w:t>
            </w:r>
          </w:p>
        </w:tc>
        <w:tc>
          <w:tcPr>
            <w:tcW w:type="dxa" w:w="468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Go-live</w:t>
            </w:r>
          </w:p>
        </w:tc>
        <w:tc>
          <w:tcPr>
            <w:tcW w:type="dxa" w:w="2160"/>
          </w:tcPr>
          <w:p>
            <w:pPr>
              <w:spacing w:before="0" w:after="0" w:line="220" w:lineRule="exact"/>
            </w:pPr>
            <w:r>
              <w:rPr>
                <w:sz w:val="18"/>
              </w:rPr>
              <w:t>25%</w:t>
            </w:r>
          </w:p>
        </w:tc>
      </w:tr>
    </w:tbl>
    <w:p>
      <w:pPr>
        <w:spacing w:before="120" w:after="80" w:line="200" w:lineRule="exact"/>
      </w:pPr>
      <w:r>
        <w:rPr>
          <w:i/>
          <w:sz w:val="17"/>
        </w:rPr>
        <w:t>Alternative: Semi-annual payments — 50% on project kickoff, 50% at go-live.</w:t>
      </w:r>
    </w:p>
    <w:p>
      <w:pPr>
        <w:spacing w:before="40" w:after="80" w:line="200" w:lineRule="exact"/>
      </w:pPr>
      <w:r>
        <w:rPr>
          <w:sz w:val="16"/>
        </w:rPr>
        <w:t>Support fees are invoiced annually in advance, beginning at go-live. Support includes bug fixes, Salesforce release regression, up to 40 support hours/year, quarterly health reviews, and P1 response within 4 business hours.</w:t>
      </w:r>
    </w:p>
    <w:p>
      <w:pPr>
        <w:spacing w:before="0" w:after="200" w:line="200" w:lineRule="exact"/>
      </w:pPr>
      <w:r>
        <w:rPr>
          <w:color w:val="666666"/>
          <w:sz w:val="16"/>
        </w:rPr>
        <w:t>Excludes: Salesforce platform licenses, third-party data feeds (IQVIA/OneKey), and travel outside Cairo.</w:t>
      </w:r>
    </w:p>
    <w:p>
      <w:pPr>
        <w:spacing w:before="80" w:after="40" w:line="200" w:lineRule="exact"/>
      </w:pPr>
      <w:r>
        <w:rPr>
          <w:sz w:val="18"/>
        </w:rPr>
        <w:t>Accepted by: ___________________     Date: ___________</w:t>
        <w:br/>
        <w:t>Cloudastick Systems — Salesforce Partner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