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26"/>
          <w:szCs w:val="26"/>
        </w:rPr>
        <w:t xml:space="preserve">KEMENTERIAN PERUMAHAN DAN KERAJAAN TEMPATAN</w:t>
      </w:r>
    </w:p>
    <w:p>
      <w:pPr>
        <w:spacing w:after="900"/>
        <w:jc w:val="center"/>
      </w:pPr>
      <w:r>
        <w:rPr>
          <w:b/>
          <w:bCs/>
          <w:color w:val="595959"/>
          <w:sz w:val="22"/>
          <w:szCs w:val="22"/>
        </w:rPr>
        <w:t xml:space="preserve">(KPKT)</w:t>
      </w:r>
    </w:p>
    <w:p>
      <w:pPr>
        <w:spacing w:after="120"/>
        <w:jc w:val="center"/>
      </w:pPr>
      <w:r>
        <w:rPr>
          <w:b/>
          <w:bCs/>
          <w:color w:val="1F3864"/>
          <w:sz w:val="40"/>
          <w:szCs w:val="40"/>
        </w:rPr>
        <w:t xml:space="preserve">DOKUMEN KEPERLUAN PRODUK</w:t>
      </w:r>
    </w:p>
    <w:p>
      <w:pPr>
        <w:spacing w:after="60"/>
        <w:jc w:val="center"/>
      </w:pPr>
      <w:r>
        <w:rPr>
          <w:i/>
          <w:iCs/>
          <w:color w:val="595959"/>
          <w:sz w:val="22"/>
          <w:szCs w:val="22"/>
        </w:rPr>
        <w:t xml:space="preserve">(PRODUCT REQUIREMENT DOCUMENT - PRD)</w:t>
      </w:r>
    </w:p>
    <w:p>
      <w:pPr>
        <w:spacing w:after="100" w:before="400"/>
        <w:jc w:val="center"/>
      </w:pPr>
      <w:r>
        <w:rPr>
          <w:b/>
          <w:bCs/>
          <w:color w:val="2E5395"/>
          <w:sz w:val="30"/>
          <w:szCs w:val="30"/>
        </w:rPr>
        <w:t xml:space="preserve">Dashboard Perancangan dan Penilaian Program Pembangunan Komuniti</w:t>
      </w:r>
    </w:p>
    <w:p>
      <w:pPr>
        <w:spacing w:after="900"/>
        <w:jc w:val="center"/>
      </w:pPr>
      <w:r>
        <w:rPr>
          <w:i/>
          <w:iCs/>
          <w:color w:val="595959"/>
          <w:sz w:val="22"/>
          <w:szCs w:val="22"/>
        </w:rPr>
        <w:t xml:space="preserve">(Community Development Program Planning Dashboard)</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200"/>
        <w:gridCol w:w="5980"/>
      </w:tblGrid>
      <w:tr>
        <w:tc>
          <w:tcPr>
            <w:tcW w:type="dxa" w:w="3200"/>
            <w:shd w:fill="1F3864" w:val="clear"/>
            <w:tcMar>
              <w:top w:type="dxa" w:w="80"/>
              <w:left w:type="dxa" w:w="100"/>
              <w:bottom w:type="dxa" w:w="80"/>
              <w:right w:type="dxa" w:w="100"/>
            </w:tcMar>
            <w:vAlign w:val="center"/>
          </w:tcPr>
          <w:p>
            <w:r>
              <w:rPr>
                <w:b/>
                <w:bCs/>
                <w:color w:val="FFFFFF"/>
                <w:sz w:val="20"/>
                <w:szCs w:val="20"/>
              </w:rPr>
              <w:t xml:space="preserve">Perkara</w:t>
            </w:r>
          </w:p>
        </w:tc>
        <w:tc>
          <w:tcPr>
            <w:tcW w:type="dxa" w:w="5980"/>
            <w:shd w:fill="1F3864" w:val="clear"/>
            <w:tcMar>
              <w:top w:type="dxa" w:w="80"/>
              <w:left w:type="dxa" w:w="100"/>
              <w:bottom w:type="dxa" w:w="80"/>
              <w:right w:type="dxa" w:w="100"/>
            </w:tcMar>
            <w:vAlign w:val="center"/>
          </w:tcPr>
          <w:p>
            <w:r>
              <w:rPr>
                <w:b/>
                <w:bCs/>
                <w:color w:val="FFFFFF"/>
                <w:sz w:val="20"/>
                <w:szCs w:val="20"/>
              </w:rPr>
              <w:t xml:space="preserve">Butiran</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Nama Sistem</w:t>
            </w:r>
          </w:p>
        </w:tc>
        <w:tc>
          <w:tcPr>
            <w:tcW w:type="dxa" w:w="5980"/>
            <w:tcMar>
              <w:top w:type="dxa" w:w="80"/>
              <w:left w:type="dxa" w:w="100"/>
              <w:bottom w:type="dxa" w:w="80"/>
              <w:right w:type="dxa" w:w="100"/>
            </w:tcMar>
            <w:vAlign w:val="center"/>
          </w:tcPr>
          <w:p>
            <w:r>
              <w:rPr>
                <w:b w:val="false"/>
                <w:bCs w:val="false"/>
                <w:color w:val="000000"/>
                <w:sz w:val="20"/>
                <w:szCs w:val="20"/>
              </w:rPr>
              <w:t xml:space="preserve">Dashboard Perancangan &amp; Penilaian Program Pembangunan Komuniti (DPPK)</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Versi Dokumen</w:t>
            </w:r>
          </w:p>
        </w:tc>
        <w:tc>
          <w:tcPr>
            <w:tcW w:type="dxa" w:w="5980"/>
            <w:shd w:fill="F2F2F2" w:val="clear"/>
            <w:tcMar>
              <w:top w:type="dxa" w:w="80"/>
              <w:left w:type="dxa" w:w="100"/>
              <w:bottom w:type="dxa" w:w="80"/>
              <w:right w:type="dxa" w:w="100"/>
            </w:tcMar>
            <w:vAlign w:val="center"/>
          </w:tcPr>
          <w:p>
            <w:r>
              <w:rPr>
                <w:b w:val="false"/>
                <w:bCs w:val="false"/>
                <w:color w:val="000000"/>
                <w:sz w:val="20"/>
                <w:szCs w:val="20"/>
              </w:rPr>
              <w:t xml:space="preserve">1.0</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Tarikh</w:t>
            </w:r>
          </w:p>
        </w:tc>
        <w:tc>
          <w:tcPr>
            <w:tcW w:type="dxa" w:w="5980"/>
            <w:tcMar>
              <w:top w:type="dxa" w:w="80"/>
              <w:left w:type="dxa" w:w="100"/>
              <w:bottom w:type="dxa" w:w="80"/>
              <w:right w:type="dxa" w:w="100"/>
            </w:tcMar>
            <w:vAlign w:val="center"/>
          </w:tcPr>
          <w:p>
            <w:r>
              <w:rPr>
                <w:b w:val="false"/>
                <w:bCs w:val="false"/>
                <w:color w:val="000000"/>
                <w:sz w:val="20"/>
                <w:szCs w:val="20"/>
              </w:rPr>
              <w:t xml:space="preserve">29 Julai 2026</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Status</w:t>
            </w:r>
          </w:p>
        </w:tc>
        <w:tc>
          <w:tcPr>
            <w:tcW w:type="dxa" w:w="5980"/>
            <w:shd w:fill="F2F2F2" w:val="clear"/>
            <w:tcMar>
              <w:top w:type="dxa" w:w="80"/>
              <w:left w:type="dxa" w:w="100"/>
              <w:bottom w:type="dxa" w:w="80"/>
              <w:right w:type="dxa" w:w="100"/>
            </w:tcMar>
            <w:vAlign w:val="center"/>
          </w:tcPr>
          <w:p>
            <w:r>
              <w:rPr>
                <w:b w:val="false"/>
                <w:bCs w:val="false"/>
                <w:color w:val="000000"/>
                <w:sz w:val="20"/>
                <w:szCs w:val="20"/>
              </w:rPr>
              <w:t xml:space="preserve">Draf untuk Semakan</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Platform Pembangunan</w:t>
            </w:r>
          </w:p>
        </w:tc>
        <w:tc>
          <w:tcPr>
            <w:tcW w:type="dxa" w:w="5980"/>
            <w:tcMar>
              <w:top w:type="dxa" w:w="80"/>
              <w:left w:type="dxa" w:w="100"/>
              <w:bottom w:type="dxa" w:w="80"/>
              <w:right w:type="dxa" w:w="100"/>
            </w:tcMar>
            <w:vAlign w:val="center"/>
          </w:tcPr>
          <w:p>
            <w:r>
              <w:rPr>
                <w:b w:val="false"/>
                <w:bCs w:val="false"/>
                <w:color w:val="000000"/>
                <w:sz w:val="20"/>
                <w:szCs w:val="20"/>
              </w:rPr>
              <w:t xml:space="preserve">React.js (Frontend) dengan Pangkalan Data Dummy/Mock</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Alat Bantuan AI</w:t>
            </w:r>
          </w:p>
        </w:tc>
        <w:tc>
          <w:tcPr>
            <w:tcW w:type="dxa" w:w="5980"/>
            <w:shd w:fill="F2F2F2" w:val="clear"/>
            <w:tcMar>
              <w:top w:type="dxa" w:w="80"/>
              <w:left w:type="dxa" w:w="100"/>
              <w:bottom w:type="dxa" w:w="80"/>
              <w:right w:type="dxa" w:w="100"/>
            </w:tcMar>
            <w:vAlign w:val="center"/>
          </w:tcPr>
          <w:p>
            <w:r>
              <w:rPr>
                <w:b w:val="false"/>
                <w:bCs w:val="false"/>
                <w:color w:val="000000"/>
                <w:sz w:val="20"/>
                <w:szCs w:val="20"/>
              </w:rPr>
              <w:t xml:space="preserve">z.ai — Model GLM 5.2</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Disediakan Oleh</w:t>
            </w:r>
          </w:p>
        </w:tc>
        <w:tc>
          <w:tcPr>
            <w:tcW w:type="dxa" w:w="5980"/>
            <w:tcMar>
              <w:top w:type="dxa" w:w="80"/>
              <w:left w:type="dxa" w:w="100"/>
              <w:bottom w:type="dxa" w:w="80"/>
              <w:right w:type="dxa" w:w="100"/>
            </w:tcMar>
            <w:vAlign w:val="center"/>
          </w:tcPr>
          <w:p>
            <w:r>
              <w:rPr>
                <w:b w:val="false"/>
                <w:bCs w:val="false"/>
                <w:color w:val="000000"/>
                <w:sz w:val="20"/>
                <w:szCs w:val="20"/>
              </w:rPr>
              <w:t xml:space="preserve">Bahagian Perancangan Strategik &amp; Digital, KPKT</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Kerahsiaan</w:t>
            </w:r>
          </w:p>
        </w:tc>
        <w:tc>
          <w:tcPr>
            <w:tcW w:type="dxa" w:w="5980"/>
            <w:shd w:fill="F2F2F2" w:val="clear"/>
            <w:tcMar>
              <w:top w:type="dxa" w:w="80"/>
              <w:left w:type="dxa" w:w="100"/>
              <w:bottom w:type="dxa" w:w="80"/>
              <w:right w:type="dxa" w:w="100"/>
            </w:tcMar>
            <w:vAlign w:val="center"/>
          </w:tcPr>
          <w:p>
            <w:r>
              <w:rPr>
                <w:b w:val="false"/>
                <w:bCs w:val="false"/>
                <w:color w:val="000000"/>
                <w:sz w:val="20"/>
                <w:szCs w:val="20"/>
              </w:rPr>
              <w:t xml:space="preserve">Terhad — Kegunaan Dalaman KPKT Sahaja</w:t>
            </w:r>
          </w:p>
        </w:tc>
      </w:tr>
    </w:tbl>
    <w:p>
      <w:r>
        <w:br w:type="page"/>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Bdr>
          <w:bottom w:val="single" w:color="1F3864" w:sz="8" w:space="4"/>
        </w:pBdr>
        <w:spacing w:after="180" w:before="360"/>
      </w:pPr>
      <w:r>
        <w:rPr>
          <w:b/>
          <w:bCs/>
          <w:color w:val="1F3864"/>
          <w:sz w:val="30"/>
          <w:szCs w:val="30"/>
        </w:rPr>
        <w:t xml:space="preserve">ISI KANDUNGAN</w:t>
      </w:r>
    </w:p>
    <w:sdt>
      <w:sdtPr>
        <w:alias w:val="Isi Kandungan"/>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180" w:before="360"/>
      </w:pPr>
      <w:r>
        <w:rPr>
          <w:b/>
          <w:bCs/>
          <w:color w:val="1F3864"/>
          <w:sz w:val="30"/>
          <w:szCs w:val="30"/>
        </w:rPr>
        <w:t xml:space="preserve">1. PENGENALAN</w:t>
      </w:r>
    </w:p>
    <w:p>
      <w:pPr>
        <w:pStyle w:val="Heading2"/>
        <w:spacing w:after="140" w:before="260"/>
      </w:pPr>
      <w:r>
        <w:rPr>
          <w:b/>
          <w:bCs/>
          <w:color w:val="2E5395"/>
          <w:sz w:val="25"/>
          <w:szCs w:val="25"/>
        </w:rPr>
        <w:t xml:space="preserve">1.1 Tujuan Dokumen</w:t>
      </w:r>
    </w:p>
    <w:p>
      <w:pPr>
        <w:spacing w:after="160" w:line="276"/>
        <w:jc w:val="both"/>
      </w:pPr>
      <w:r>
        <w:rPr>
          <w:sz w:val="22"/>
          <w:szCs w:val="22"/>
        </w:rPr>
        <w:t xml:space="preserve">Dokumen Keperluan Produk (PRD) ini disediakan untuk menerangkan secara terperinci keperluan fungsian dan bukan fungsian bagi pembangunan sistem "Dashboard Perancangan dan Penilaian Program Pembangunan Komuniti" (DPPK) di bawah Kementerian Perumahan dan Kerajaan Tempatan (KPKT). Dokumen ini bertindak sebagai rujukan utama kepada pasukan pembangunan, pihak berkepentingan, dan pengurusan projek sepanjang kitaran hayat pembangunan sistem.</w:t>
      </w:r>
    </w:p>
    <w:p>
      <w:pPr>
        <w:pStyle w:val="Heading2"/>
        <w:spacing w:after="140" w:before="260"/>
      </w:pPr>
      <w:r>
        <w:rPr>
          <w:b/>
          <w:bCs/>
          <w:color w:val="2E5395"/>
          <w:sz w:val="25"/>
          <w:szCs w:val="25"/>
        </w:rPr>
        <w:t xml:space="preserve">1.2 Latar Belakang</w:t>
      </w:r>
    </w:p>
    <w:p>
      <w:pPr>
        <w:spacing w:after="160" w:line="276"/>
        <w:jc w:val="both"/>
      </w:pPr>
      <w:r>
        <w:rPr>
          <w:sz w:val="22"/>
          <w:szCs w:val="22"/>
        </w:rPr>
        <w:t xml:space="preserve">KPKT melaksanakan pelbagai program pembangunan komuniti di peringkat Pihak Berkuasa Tempatan (PBT) dan negeri, merangkumi bidang seperti pembangunan sosioekonomi, infrastruktur komuniti, program kesejahteraan rakyat, dan inisiatif transformasi bandar/luar bandar. Pada masa kini, proses perancangan, pelaksanaan, pemantauan, dan penilaian program dijalankan secara berasingan menggunakan hamparan elektronik (spreadsheet), laporan manual, dan sistem yang tidak bersepadu. Ini menyebabkan kesukaran dalam mendapatkan gambaran menyeluruh (holistic view) mengenai status program, kekurangan ketelusan data, serta kelewatan dalam membuat keputusan berasaskan data (data-driven decision making).</w:t>
      </w:r>
    </w:p>
    <w:p>
      <w:pPr>
        <w:spacing w:after="160" w:line="276"/>
        <w:jc w:val="both"/>
      </w:pPr>
      <w:r>
        <w:rPr>
          <w:sz w:val="22"/>
          <w:szCs w:val="22"/>
        </w:rPr>
        <w:t xml:space="preserve">Justeru, satu sistem Dashboard bersepadu diperlukan bagi menyokong keseluruhan kitaran hayat program — bermula daripada perancangan (planning), pelaksanaan (implementation), pemantauan (monitoring), sehingga penilaian (evaluation) — dalam satu platform digital yang mudah diakses, interaktif, dan berasaskan data masa nyata (real-time).</w:t>
      </w:r>
    </w:p>
    <w:p>
      <w:pPr>
        <w:pStyle w:val="Heading2"/>
        <w:spacing w:after="140" w:before="260"/>
      </w:pPr>
      <w:r>
        <w:rPr>
          <w:b/>
          <w:bCs/>
          <w:color w:val="2E5395"/>
          <w:sz w:val="25"/>
          <w:szCs w:val="25"/>
        </w:rPr>
        <w:t xml:space="preserve">1.3 Skop Projek</w:t>
      </w:r>
    </w:p>
    <w:p>
      <w:pPr>
        <w:spacing w:after="160" w:line="276"/>
        <w:jc w:val="both"/>
      </w:pPr>
      <w:r>
        <w:rPr>
          <w:sz w:val="22"/>
          <w:szCs w:val="22"/>
        </w:rPr>
        <w:t xml:space="preserve">Skop pembangunan Fasa 1 sistem ini merangkumi pembangunan prototaip/produk minimum berdaya maju (MVP) menggunakan kerangka kerja React.js pada bahagian hadapan (frontend), dengan pangkalan data dummy/mock (data simulasi) bagi tujuan demonstrasi konsep, pengesahan aliran kerja (workflow validation), dan pembentangan kepada pihak pengurusan sebelum fasa integrasi dengan pangkalan data sebenar dan sistem sedia ada KPKT (seperti eSPEKS, MyLocalStat, atau sistem lain yang berkaitan) dilaksanakan pada fasa akan datang.</w:t>
      </w:r>
    </w:p>
    <w:p>
      <w:pPr>
        <w:pStyle w:val="Heading3"/>
        <w:spacing w:after="100" w:before="200"/>
      </w:pPr>
      <w:r>
        <w:rPr>
          <w:b/>
          <w:bCs/>
          <w:color w:val="595959"/>
          <w:sz w:val="22"/>
          <w:szCs w:val="22"/>
        </w:rPr>
        <w:t xml:space="preserve">Dalam Skop (In-Scope)</w:t>
      </w:r>
    </w:p>
    <w:p>
      <w:pPr>
        <w:pStyle w:val="ListParagraph"/>
        <w:numPr>
          <w:ilvl w:val="0"/>
          <w:numId w:val="2"/>
        </w:numPr>
        <w:spacing w:after="80"/>
      </w:pPr>
      <w:r>
        <w:rPr>
          <w:sz w:val="22"/>
          <w:szCs w:val="22"/>
        </w:rPr>
        <w:t xml:space="preserve">Modul Perancangan Program (Program Planning)</w:t>
      </w:r>
    </w:p>
    <w:p>
      <w:pPr>
        <w:pStyle w:val="ListParagraph"/>
        <w:numPr>
          <w:ilvl w:val="0"/>
          <w:numId w:val="2"/>
        </w:numPr>
        <w:spacing w:after="80"/>
      </w:pPr>
      <w:r>
        <w:rPr>
          <w:sz w:val="22"/>
          <w:szCs w:val="22"/>
        </w:rPr>
        <w:t xml:space="preserve">Modul Pengurusan Bajet &amp; Sumber (Budget &amp; Resource Management)</w:t>
      </w:r>
    </w:p>
    <w:p>
      <w:pPr>
        <w:pStyle w:val="ListParagraph"/>
        <w:numPr>
          <w:ilvl w:val="0"/>
          <w:numId w:val="2"/>
        </w:numPr>
        <w:spacing w:after="80"/>
      </w:pPr>
      <w:r>
        <w:rPr>
          <w:sz w:val="22"/>
          <w:szCs w:val="22"/>
        </w:rPr>
        <w:t xml:space="preserve">Modul Pelaksanaan &amp; Pemantauan Program (Implementation &amp; Monitoring)</w:t>
      </w:r>
    </w:p>
    <w:p>
      <w:pPr>
        <w:pStyle w:val="ListParagraph"/>
        <w:numPr>
          <w:ilvl w:val="0"/>
          <w:numId w:val="2"/>
        </w:numPr>
        <w:spacing w:after="80"/>
      </w:pPr>
      <w:r>
        <w:rPr>
          <w:sz w:val="22"/>
          <w:szCs w:val="22"/>
        </w:rPr>
        <w:t xml:space="preserve">Modul Penilaian &amp; Impak Program (Evaluation &amp; Impact Assessment)</w:t>
      </w:r>
    </w:p>
    <w:p>
      <w:pPr>
        <w:pStyle w:val="ListParagraph"/>
        <w:numPr>
          <w:ilvl w:val="0"/>
          <w:numId w:val="2"/>
        </w:numPr>
        <w:spacing w:after="80"/>
      </w:pPr>
      <w:r>
        <w:rPr>
          <w:sz w:val="22"/>
          <w:szCs w:val="22"/>
        </w:rPr>
        <w:t xml:space="preserve">Modul Pelaporan &amp; Analitik (Reporting &amp; Analytics)</w:t>
      </w:r>
    </w:p>
    <w:p>
      <w:pPr>
        <w:pStyle w:val="ListParagraph"/>
        <w:numPr>
          <w:ilvl w:val="0"/>
          <w:numId w:val="2"/>
        </w:numPr>
        <w:spacing w:after="80"/>
      </w:pPr>
      <w:r>
        <w:rPr>
          <w:sz w:val="22"/>
          <w:szCs w:val="22"/>
        </w:rPr>
        <w:t xml:space="preserve">Modul Pentadbiran Pengguna &amp; Peranan (User &amp; Role Management)</w:t>
      </w:r>
    </w:p>
    <w:p>
      <w:pPr>
        <w:pStyle w:val="ListParagraph"/>
        <w:numPr>
          <w:ilvl w:val="0"/>
          <w:numId w:val="2"/>
        </w:numPr>
        <w:spacing w:after="80"/>
      </w:pPr>
      <w:r>
        <w:rPr>
          <w:sz w:val="22"/>
          <w:szCs w:val="22"/>
        </w:rPr>
        <w:t xml:space="preserve">Pangkalan data dummy (data simulasi/mock JSON) bagi pembangunan dan ujian</w:t>
      </w:r>
    </w:p>
    <w:p>
      <w:pPr>
        <w:pStyle w:val="Heading3"/>
        <w:spacing w:after="100" w:before="200"/>
      </w:pPr>
      <w:r>
        <w:rPr>
          <w:b/>
          <w:bCs/>
          <w:color w:val="595959"/>
          <w:sz w:val="22"/>
          <w:szCs w:val="22"/>
        </w:rPr>
        <w:t xml:space="preserve">Luar Skop (Out-of-Scope) — Fasa 1</w:t>
      </w:r>
    </w:p>
    <w:p>
      <w:pPr>
        <w:pStyle w:val="ListParagraph"/>
        <w:numPr>
          <w:ilvl w:val="0"/>
          <w:numId w:val="2"/>
        </w:numPr>
        <w:spacing w:after="80"/>
      </w:pPr>
      <w:r>
        <w:rPr>
          <w:sz w:val="22"/>
          <w:szCs w:val="22"/>
        </w:rPr>
        <w:t xml:space="preserve">Integrasi dengan pangkalan data produksi/sistem sedia ada KPKT</w:t>
      </w:r>
    </w:p>
    <w:p>
      <w:pPr>
        <w:pStyle w:val="ListParagraph"/>
        <w:numPr>
          <w:ilvl w:val="0"/>
          <w:numId w:val="2"/>
        </w:numPr>
        <w:spacing w:after="80"/>
      </w:pPr>
      <w:r>
        <w:rPr>
          <w:sz w:val="22"/>
          <w:szCs w:val="22"/>
        </w:rPr>
        <w:t xml:space="preserve">Pengesahan pengguna sebenar (Single Sign-On/MyDigital ID) — akan dilaksanakan pada Fasa 2</w:t>
      </w:r>
    </w:p>
    <w:p>
      <w:pPr>
        <w:pStyle w:val="ListParagraph"/>
        <w:numPr>
          <w:ilvl w:val="0"/>
          <w:numId w:val="2"/>
        </w:numPr>
        <w:spacing w:after="80"/>
      </w:pPr>
      <w:r>
        <w:rPr>
          <w:sz w:val="22"/>
          <w:szCs w:val="22"/>
        </w:rPr>
        <w:t xml:space="preserve">Aplikasi mudah alih (mobile native app)</w:t>
      </w:r>
    </w:p>
    <w:p>
      <w:pPr>
        <w:pStyle w:val="ListParagraph"/>
        <w:numPr>
          <w:ilvl w:val="0"/>
          <w:numId w:val="2"/>
        </w:numPr>
        <w:spacing w:after="80"/>
      </w:pPr>
      <w:r>
        <w:rPr>
          <w:sz w:val="22"/>
          <w:szCs w:val="22"/>
        </w:rPr>
        <w:t xml:space="preserve">Integrasi pembayaran/kewangan sebenar</w:t>
      </w:r>
    </w:p>
    <w:p>
      <w:pPr>
        <w:pStyle w:val="Heading2"/>
        <w:spacing w:after="140" w:before="260"/>
      </w:pPr>
      <w:r>
        <w:rPr>
          <w:b/>
          <w:bCs/>
          <w:color w:val="2E5395"/>
          <w:sz w:val="25"/>
          <w:szCs w:val="25"/>
        </w:rPr>
        <w:t xml:space="preserve">1.4 Definisi, Akronim dan Singkatan</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200"/>
        <w:gridCol w:w="6980"/>
      </w:tblGrid>
      <w:tr>
        <w:tc>
          <w:tcPr>
            <w:tcW w:type="dxa" w:w="2200"/>
            <w:shd w:fill="1F3864" w:val="clear"/>
            <w:tcMar>
              <w:top w:type="dxa" w:w="80"/>
              <w:left w:type="dxa" w:w="100"/>
              <w:bottom w:type="dxa" w:w="80"/>
              <w:right w:type="dxa" w:w="100"/>
            </w:tcMar>
            <w:vAlign w:val="center"/>
          </w:tcPr>
          <w:p>
            <w:r>
              <w:rPr>
                <w:b/>
                <w:bCs/>
                <w:color w:val="FFFFFF"/>
                <w:sz w:val="20"/>
                <w:szCs w:val="20"/>
              </w:rPr>
              <w:t xml:space="preserve">Istilah</w:t>
            </w:r>
          </w:p>
        </w:tc>
        <w:tc>
          <w:tcPr>
            <w:tcW w:type="dxa" w:w="6980"/>
            <w:shd w:fill="1F3864" w:val="clear"/>
            <w:tcMar>
              <w:top w:type="dxa" w:w="80"/>
              <w:left w:type="dxa" w:w="100"/>
              <w:bottom w:type="dxa" w:w="80"/>
              <w:right w:type="dxa" w:w="100"/>
            </w:tcMar>
            <w:vAlign w:val="center"/>
          </w:tcPr>
          <w:p>
            <w:r>
              <w:rPr>
                <w:b/>
                <w:bCs/>
                <w:color w:val="FFFFFF"/>
                <w:sz w:val="20"/>
                <w:szCs w:val="20"/>
              </w:rPr>
              <w:t xml:space="preserve">Penerangan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KPKT</w:t>
            </w:r>
          </w:p>
        </w:tc>
        <w:tc>
          <w:tcPr>
            <w:tcW w:type="dxa" w:w="6980"/>
            <w:tcMar>
              <w:top w:type="dxa" w:w="80"/>
              <w:left w:type="dxa" w:w="100"/>
              <w:bottom w:type="dxa" w:w="80"/>
              <w:right w:type="dxa" w:w="100"/>
            </w:tcMar>
            <w:vAlign w:val="center"/>
          </w:tcPr>
          <w:p>
            <w:r>
              <w:rPr>
                <w:b w:val="false"/>
                <w:bCs w:val="false"/>
                <w:color w:val="000000"/>
                <w:sz w:val="20"/>
                <w:szCs w:val="20"/>
              </w:rPr>
              <w:t xml:space="preserve">Kementerian Perumahan dan Kerajaan Tempatan</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PBT</w:t>
            </w:r>
          </w:p>
        </w:tc>
        <w:tc>
          <w:tcPr>
            <w:tcW w:type="dxa" w:w="6980"/>
            <w:shd w:fill="F2F2F2" w:val="clear"/>
            <w:tcMar>
              <w:top w:type="dxa" w:w="80"/>
              <w:left w:type="dxa" w:w="100"/>
              <w:bottom w:type="dxa" w:w="80"/>
              <w:right w:type="dxa" w:w="100"/>
            </w:tcMar>
            <w:vAlign w:val="center"/>
          </w:tcPr>
          <w:p>
            <w:r>
              <w:rPr>
                <w:b w:val="false"/>
                <w:bCs w:val="false"/>
                <w:color w:val="000000"/>
                <w:sz w:val="20"/>
                <w:szCs w:val="20"/>
              </w:rPr>
              <w:t xml:space="preserve">Pihak Berkuasa Tempatan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PRD</w:t>
            </w:r>
          </w:p>
        </w:tc>
        <w:tc>
          <w:tcPr>
            <w:tcW w:type="dxa" w:w="6980"/>
            <w:tcMar>
              <w:top w:type="dxa" w:w="80"/>
              <w:left w:type="dxa" w:w="100"/>
              <w:bottom w:type="dxa" w:w="80"/>
              <w:right w:type="dxa" w:w="100"/>
            </w:tcMar>
            <w:vAlign w:val="center"/>
          </w:tcPr>
          <w:p>
            <w:r>
              <w:rPr>
                <w:b w:val="false"/>
                <w:bCs w:val="false"/>
                <w:color w:val="000000"/>
                <w:sz w:val="20"/>
                <w:szCs w:val="20"/>
              </w:rPr>
              <w:t xml:space="preserve">Product Requirement Document / Dokumen Keperluan Produk</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MVP</w:t>
            </w:r>
          </w:p>
        </w:tc>
        <w:tc>
          <w:tcPr>
            <w:tcW w:type="dxa" w:w="6980"/>
            <w:shd w:fill="F2F2F2" w:val="clear"/>
            <w:tcMar>
              <w:top w:type="dxa" w:w="80"/>
              <w:left w:type="dxa" w:w="100"/>
              <w:bottom w:type="dxa" w:w="80"/>
              <w:right w:type="dxa" w:w="100"/>
            </w:tcMar>
            <w:vAlign w:val="center"/>
          </w:tcPr>
          <w:p>
            <w:r>
              <w:rPr>
                <w:b w:val="false"/>
                <w:bCs w:val="false"/>
                <w:color w:val="000000"/>
                <w:sz w:val="20"/>
                <w:szCs w:val="20"/>
              </w:rPr>
              <w:t xml:space="preserve">Minimum Viable Product / Produk Minimum Berdaya Maju</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KPI</w:t>
            </w:r>
          </w:p>
        </w:tc>
        <w:tc>
          <w:tcPr>
            <w:tcW w:type="dxa" w:w="6980"/>
            <w:tcMar>
              <w:top w:type="dxa" w:w="80"/>
              <w:left w:type="dxa" w:w="100"/>
              <w:bottom w:type="dxa" w:w="80"/>
              <w:right w:type="dxa" w:w="100"/>
            </w:tcMar>
            <w:vAlign w:val="center"/>
          </w:tcPr>
          <w:p>
            <w:r>
              <w:rPr>
                <w:b w:val="false"/>
                <w:bCs w:val="false"/>
                <w:color w:val="000000"/>
                <w:sz w:val="20"/>
                <w:szCs w:val="20"/>
              </w:rPr>
              <w:t xml:space="preserve">Key Performance Indicator / Petunjuk Prestasi Utama</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UI/UX</w:t>
            </w:r>
          </w:p>
        </w:tc>
        <w:tc>
          <w:tcPr>
            <w:tcW w:type="dxa" w:w="6980"/>
            <w:shd w:fill="F2F2F2" w:val="clear"/>
            <w:tcMar>
              <w:top w:type="dxa" w:w="80"/>
              <w:left w:type="dxa" w:w="100"/>
              <w:bottom w:type="dxa" w:w="80"/>
              <w:right w:type="dxa" w:w="100"/>
            </w:tcMar>
            <w:vAlign w:val="center"/>
          </w:tcPr>
          <w:p>
            <w:r>
              <w:rPr>
                <w:b w:val="false"/>
                <w:bCs w:val="false"/>
                <w:color w:val="000000"/>
                <w:sz w:val="20"/>
                <w:szCs w:val="20"/>
              </w:rPr>
              <w:t xml:space="preserve">User Interface / User Experience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CRUD</w:t>
            </w:r>
          </w:p>
        </w:tc>
        <w:tc>
          <w:tcPr>
            <w:tcW w:type="dxa" w:w="6980"/>
            <w:tcMar>
              <w:top w:type="dxa" w:w="80"/>
              <w:left w:type="dxa" w:w="100"/>
              <w:bottom w:type="dxa" w:w="80"/>
              <w:right w:type="dxa" w:w="100"/>
            </w:tcMar>
            <w:vAlign w:val="center"/>
          </w:tcPr>
          <w:p>
            <w:r>
              <w:rPr>
                <w:b w:val="false"/>
                <w:bCs w:val="false"/>
                <w:color w:val="000000"/>
                <w:sz w:val="20"/>
                <w:szCs w:val="20"/>
              </w:rPr>
              <w:t xml:space="preserve">Create, Read, Update, Delete</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RBAC</w:t>
            </w:r>
          </w:p>
        </w:tc>
        <w:tc>
          <w:tcPr>
            <w:tcW w:type="dxa" w:w="6980"/>
            <w:shd w:fill="F2F2F2" w:val="clear"/>
            <w:tcMar>
              <w:top w:type="dxa" w:w="80"/>
              <w:left w:type="dxa" w:w="100"/>
              <w:bottom w:type="dxa" w:w="80"/>
              <w:right w:type="dxa" w:w="100"/>
            </w:tcMar>
            <w:vAlign w:val="center"/>
          </w:tcPr>
          <w:p>
            <w:r>
              <w:rPr>
                <w:b w:val="false"/>
                <w:bCs w:val="false"/>
                <w:color w:val="000000"/>
                <w:sz w:val="20"/>
                <w:szCs w:val="20"/>
              </w:rPr>
              <w:t xml:space="preserve">Role-Based Access Control / Kawalan Capaian Berasaskan Peranan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GLM 5.2</w:t>
            </w:r>
          </w:p>
        </w:tc>
        <w:tc>
          <w:tcPr>
            <w:tcW w:type="dxa" w:w="6980"/>
            <w:tcMar>
              <w:top w:type="dxa" w:w="80"/>
              <w:left w:type="dxa" w:w="100"/>
              <w:bottom w:type="dxa" w:w="80"/>
              <w:right w:type="dxa" w:w="100"/>
            </w:tcMar>
            <w:vAlign w:val="center"/>
          </w:tcPr>
          <w:p>
            <w:r>
              <w:rPr>
                <w:b w:val="false"/>
                <w:bCs w:val="false"/>
                <w:color w:val="000000"/>
                <w:sz w:val="20"/>
                <w:szCs w:val="20"/>
              </w:rPr>
              <w:t xml:space="preserve">Model bahasa besar (LLM) daripada z.ai yang digunakan untuk membantu penjanaan kod semasa pembangunan</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MOF</w:t>
            </w:r>
          </w:p>
        </w:tc>
        <w:tc>
          <w:tcPr>
            <w:tcW w:type="dxa" w:w="6980"/>
            <w:shd w:fill="F2F2F2" w:val="clear"/>
            <w:tcMar>
              <w:top w:type="dxa" w:w="80"/>
              <w:left w:type="dxa" w:w="100"/>
              <w:bottom w:type="dxa" w:w="80"/>
              <w:right w:type="dxa" w:w="100"/>
            </w:tcMar>
            <w:vAlign w:val="center"/>
          </w:tcPr>
          <w:p>
            <w:r>
              <w:rPr>
                <w:b w:val="false"/>
                <w:bCs w:val="false"/>
                <w:color w:val="000000"/>
                <w:sz w:val="20"/>
                <w:szCs w:val="20"/>
              </w:rPr>
              <w:t xml:space="preserve">Kementerian Kewangan Malaysia (Ministry of Finance)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OE</w:t>
            </w:r>
          </w:p>
        </w:tc>
        <w:tc>
          <w:tcPr>
            <w:tcW w:type="dxa" w:w="6980"/>
            <w:tcMar>
              <w:top w:type="dxa" w:w="80"/>
              <w:left w:type="dxa" w:w="100"/>
              <w:bottom w:type="dxa" w:w="80"/>
              <w:right w:type="dxa" w:w="100"/>
            </w:tcMar>
            <w:vAlign w:val="center"/>
          </w:tcPr>
          <w:p>
            <w:r>
              <w:rPr>
                <w:b w:val="false"/>
                <w:bCs w:val="false"/>
                <w:color w:val="000000"/>
                <w:sz w:val="20"/>
                <w:szCs w:val="20"/>
              </w:rPr>
              <w:t xml:space="preserve">Operating Expenditure / Perbelanjaan Mengurus (Bajet Pengurusan)</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DE</w:t>
            </w:r>
          </w:p>
        </w:tc>
        <w:tc>
          <w:tcPr>
            <w:tcW w:type="dxa" w:w="6980"/>
            <w:shd w:fill="F2F2F2" w:val="clear"/>
            <w:tcMar>
              <w:top w:type="dxa" w:w="80"/>
              <w:left w:type="dxa" w:w="100"/>
              <w:bottom w:type="dxa" w:w="80"/>
              <w:right w:type="dxa" w:w="100"/>
            </w:tcMar>
            <w:vAlign w:val="center"/>
          </w:tcPr>
          <w:p>
            <w:r>
              <w:rPr>
                <w:b w:val="false"/>
                <w:bCs w:val="false"/>
                <w:color w:val="000000"/>
                <w:sz w:val="20"/>
                <w:szCs w:val="20"/>
              </w:rPr>
              <w:t xml:space="preserve">Development Expenditure / Perbelanjaan Pembangunan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iGFMAS</w:t>
            </w:r>
          </w:p>
        </w:tc>
        <w:tc>
          <w:tcPr>
            <w:tcW w:type="dxa" w:w="6980"/>
            <w:tcMar>
              <w:top w:type="dxa" w:w="80"/>
              <w:left w:type="dxa" w:w="100"/>
              <w:bottom w:type="dxa" w:w="80"/>
              <w:right w:type="dxa" w:w="100"/>
            </w:tcMar>
            <w:vAlign w:val="center"/>
          </w:tcPr>
          <w:p>
            <w:r>
              <w:rPr>
                <w:b w:val="false"/>
                <w:bCs w:val="false"/>
                <w:color w:val="000000"/>
                <w:sz w:val="20"/>
                <w:szCs w:val="20"/>
              </w:rPr>
              <w:t xml:space="preserve">Integrated Government Financial and Accounting Management System — sistem kewangan pusat Kerajaan Persekutuan</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ePBT / eSPKB</w:t>
            </w:r>
          </w:p>
        </w:tc>
        <w:tc>
          <w:tcPr>
            <w:tcW w:type="dxa" w:w="6980"/>
            <w:shd w:fill="F2F2F2" w:val="clear"/>
            <w:tcMar>
              <w:top w:type="dxa" w:w="80"/>
              <w:left w:type="dxa" w:w="100"/>
              <w:bottom w:type="dxa" w:w="80"/>
              <w:right w:type="dxa" w:w="100"/>
            </w:tcMar>
            <w:vAlign w:val="center"/>
          </w:tcPr>
          <w:p>
            <w:r>
              <w:rPr>
                <w:b w:val="false"/>
                <w:bCs w:val="false"/>
                <w:color w:val="000000"/>
                <w:sz w:val="20"/>
                <w:szCs w:val="20"/>
              </w:rPr>
              <w:t xml:space="preserve">Sistem Perancangan &amp; Kawalan Belanjawan elektronik yang digunakan oleh agensi Kerajaan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Waran Peruntukan</w:t>
            </w:r>
          </w:p>
        </w:tc>
        <w:tc>
          <w:tcPr>
            <w:tcW w:type="dxa" w:w="6980"/>
            <w:tcMar>
              <w:top w:type="dxa" w:w="80"/>
              <w:left w:type="dxa" w:w="100"/>
              <w:bottom w:type="dxa" w:w="80"/>
              <w:right w:type="dxa" w:w="100"/>
            </w:tcMar>
            <w:vAlign w:val="center"/>
          </w:tcPr>
          <w:p>
            <w:r>
              <w:rPr>
                <w:b w:val="false"/>
                <w:bCs w:val="false"/>
                <w:color w:val="000000"/>
                <w:sz w:val="20"/>
                <w:szCs w:val="20"/>
              </w:rPr>
              <w:t xml:space="preserve">Dokumen rasmi kelulusan peruntukan yang dikeluarkan oleh MOF kepada Kementerian/Jabatan</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Virement</w:t>
            </w:r>
          </w:p>
        </w:tc>
        <w:tc>
          <w:tcPr>
            <w:tcW w:type="dxa" w:w="6980"/>
            <w:shd w:fill="F2F2F2" w:val="clear"/>
            <w:tcMar>
              <w:top w:type="dxa" w:w="80"/>
              <w:left w:type="dxa" w:w="100"/>
              <w:bottom w:type="dxa" w:w="80"/>
              <w:right w:type="dxa" w:w="100"/>
            </w:tcMar>
            <w:vAlign w:val="center"/>
          </w:tcPr>
          <w:p>
            <w:r>
              <w:rPr>
                <w:b w:val="false"/>
                <w:bCs w:val="false"/>
                <w:color w:val="000000"/>
                <w:sz w:val="20"/>
                <w:szCs w:val="20"/>
              </w:rPr>
              <w:t xml:space="preserve">Proses pindahan peruntukan bajet antara aktiviti/objek perbelanjaan tertakluk kepada kelulusan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SPP</w:t>
            </w:r>
          </w:p>
        </w:tc>
        <w:tc>
          <w:tcPr>
            <w:tcW w:type="dxa" w:w="6980"/>
            <w:tcMar>
              <w:top w:type="dxa" w:w="80"/>
              <w:left w:type="dxa" w:w="100"/>
              <w:bottom w:type="dxa" w:w="80"/>
              <w:right w:type="dxa" w:w="100"/>
            </w:tcMar>
            <w:vAlign w:val="center"/>
          </w:tcPr>
          <w:p>
            <w:r>
              <w:rPr>
                <w:b w:val="false"/>
                <w:bCs w:val="false"/>
                <w:color w:val="000000"/>
                <w:sz w:val="20"/>
                <w:szCs w:val="20"/>
              </w:rPr>
              <w:t xml:space="preserve">Surat Pekeliling Perbendaharaan — arahan/garis panduan rasmi berkaitan pengurusan kewangan Kerajaan</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Baki Peruntukan</w:t>
            </w:r>
          </w:p>
        </w:tc>
        <w:tc>
          <w:tcPr>
            <w:tcW w:type="dxa" w:w="6980"/>
            <w:shd w:fill="F2F2F2" w:val="clear"/>
            <w:tcMar>
              <w:top w:type="dxa" w:w="80"/>
              <w:left w:type="dxa" w:w="100"/>
              <w:bottom w:type="dxa" w:w="80"/>
              <w:right w:type="dxa" w:w="100"/>
            </w:tcMar>
            <w:vAlign w:val="center"/>
          </w:tcPr>
          <w:p>
            <w:r>
              <w:rPr>
                <w:b w:val="false"/>
                <w:bCs w:val="false"/>
                <w:color w:val="000000"/>
                <w:sz w:val="20"/>
                <w:szCs w:val="20"/>
              </w:rPr>
              <w:t xml:space="preserve">Jumlah peruntukan OE yang masih belum dibelanjakan pada satu-satu masa</w:t>
            </w:r>
          </w:p>
        </w:tc>
      </w:tr>
    </w:tbl>
    <w:p>
      <w:pPr>
        <w:pStyle w:val="Heading1"/>
        <w:pBdr>
          <w:bottom w:val="single" w:color="1F3864" w:sz="8" w:space="4"/>
        </w:pBdr>
        <w:spacing w:after="180" w:before="360"/>
      </w:pPr>
      <w:r>
        <w:rPr>
          <w:b/>
          <w:bCs/>
          <w:color w:val="1F3864"/>
          <w:sz w:val="30"/>
          <w:szCs w:val="30"/>
        </w:rPr>
        <w:t xml:space="preserve">2. OBJEKTIF PROJEK</w:t>
      </w:r>
    </w:p>
    <w:p>
      <w:pPr>
        <w:spacing w:after="160" w:line="276"/>
        <w:jc w:val="both"/>
      </w:pPr>
      <w:r>
        <w:rPr>
          <w:sz w:val="22"/>
          <w:szCs w:val="22"/>
        </w:rPr>
        <w:t xml:space="preserve">Objektif utama pembangunan sistem DPPK adalah seperti berikut:</w:t>
      </w:r>
    </w:p>
    <w:p>
      <w:pPr>
        <w:pStyle w:val="ListParagraph"/>
        <w:numPr>
          <w:ilvl w:val="0"/>
          <w:numId w:val="3"/>
        </w:numPr>
        <w:spacing w:after="80"/>
      </w:pPr>
      <w:r>
        <w:rPr>
          <w:sz w:val="22"/>
          <w:szCs w:val="22"/>
        </w:rPr>
        <w:t xml:space="preserve">Menyediakan platform bersepadu untuk merancang, melaksana, memantau dan menilai program pembangunan komuniti di bawah KPKT secara end-to-end.</w:t>
      </w:r>
    </w:p>
    <w:p>
      <w:pPr>
        <w:pStyle w:val="ListParagraph"/>
        <w:numPr>
          <w:ilvl w:val="0"/>
          <w:numId w:val="3"/>
        </w:numPr>
        <w:spacing w:after="80"/>
      </w:pPr>
      <w:r>
        <w:rPr>
          <w:sz w:val="22"/>
          <w:szCs w:val="22"/>
        </w:rPr>
        <w:t xml:space="preserve">Meningkatkan ketelusan dan kebertanggungjawaban (accountability) dalam pengurusan program melalui paparan data masa nyata dan analitik visual.</w:t>
      </w:r>
    </w:p>
    <w:p>
      <w:pPr>
        <w:pStyle w:val="ListParagraph"/>
        <w:numPr>
          <w:ilvl w:val="0"/>
          <w:numId w:val="3"/>
        </w:numPr>
        <w:spacing w:after="80"/>
      </w:pPr>
      <w:r>
        <w:rPr>
          <w:sz w:val="22"/>
          <w:szCs w:val="22"/>
        </w:rPr>
        <w:t xml:space="preserve">Memudahkan proses membuat keputusan pihak pengurusan (Top Management) berasaskan data (data-driven decision making) melalui dashboard eksekutif.</w:t>
      </w:r>
    </w:p>
    <w:p>
      <w:pPr>
        <w:pStyle w:val="ListParagraph"/>
        <w:numPr>
          <w:ilvl w:val="0"/>
          <w:numId w:val="3"/>
        </w:numPr>
        <w:spacing w:after="80"/>
      </w:pPr>
      <w:r>
        <w:rPr>
          <w:sz w:val="22"/>
          <w:szCs w:val="22"/>
        </w:rPr>
        <w:t xml:space="preserve">Mengurangkan pergantungan kepada proses manual dan hamparan elektronik yang berasingan (data silos).</w:t>
      </w:r>
    </w:p>
    <w:p>
      <w:pPr>
        <w:pStyle w:val="ListParagraph"/>
        <w:numPr>
          <w:ilvl w:val="0"/>
          <w:numId w:val="3"/>
        </w:numPr>
        <w:spacing w:after="80"/>
      </w:pPr>
      <w:r>
        <w:rPr>
          <w:sz w:val="22"/>
          <w:szCs w:val="22"/>
        </w:rPr>
        <w:t xml:space="preserve">Menyediakan mekanisme penilaian impak program yang berstruktur, termasuk penjejakan KPI, hasil (outcome) dan impak (impact) program terhadap komuniti sasaran.</w:t>
      </w:r>
    </w:p>
    <w:p>
      <w:pPr>
        <w:pStyle w:val="ListParagraph"/>
        <w:numPr>
          <w:ilvl w:val="0"/>
          <w:numId w:val="3"/>
        </w:numPr>
        <w:spacing w:after="80"/>
      </w:pPr>
      <w:r>
        <w:rPr>
          <w:sz w:val="22"/>
          <w:szCs w:val="22"/>
        </w:rPr>
        <w:t xml:space="preserve">Membina prototaip fungsian menggunakan React.js dan data dummy bagi tujuan pengesahan konsep (proof-of-concept) sebelum pelaburan penuh ke arah pembangunan sistem produksi.</w:t>
      </w:r>
    </w:p>
    <w:p>
      <w:pPr>
        <w:pStyle w:val="ListParagraph"/>
        <w:numPr>
          <w:ilvl w:val="0"/>
          <w:numId w:val="3"/>
        </w:numPr>
        <w:spacing w:after="80"/>
      </w:pPr>
      <w:r>
        <w:rPr>
          <w:sz w:val="22"/>
          <w:szCs w:val="22"/>
        </w:rPr>
        <w:t xml:space="preserve">Menyediakan mekanisme pemantauan penggunaan peruntukan Bajet Pengurusan (Operating Expenditure - OE) yang diluluskan oleh Kementerian Kewangan (MOF) bagi setiap program, termasuk penjejakan waran peruntukan, kadar perbelanjaan (burn rate), dan baki peruntukan berbanding siling yang ditetapkan.</w:t>
      </w:r>
    </w:p>
    <w:p>
      <w:pPr>
        <w:pStyle w:val="Heading2"/>
        <w:spacing w:after="140" w:before="260"/>
      </w:pPr>
      <w:r>
        <w:rPr>
          <w:b/>
          <w:bCs/>
          <w:color w:val="2E5395"/>
          <w:sz w:val="25"/>
          <w:szCs w:val="25"/>
        </w:rPr>
        <w:t xml:space="preserve">2.1 Objektif Perniagaan (Business Objectives)</w:t>
      </w:r>
    </w:p>
    <w:p>
      <w:pPr>
        <w:pStyle w:val="ListParagraph"/>
        <w:numPr>
          <w:ilvl w:val="0"/>
          <w:numId w:val="2"/>
        </w:numPr>
        <w:spacing w:after="80"/>
      </w:pPr>
      <w:r>
        <w:rPr>
          <w:sz w:val="22"/>
          <w:szCs w:val="22"/>
        </w:rPr>
        <w:t xml:space="preserve">Mempercepatkan kitaran pelaporan program daripada bulanan/suku tahunan kepada masa nyata (real-time).</w:t>
      </w:r>
    </w:p>
    <w:p>
      <w:pPr>
        <w:pStyle w:val="ListParagraph"/>
        <w:numPr>
          <w:ilvl w:val="0"/>
          <w:numId w:val="2"/>
        </w:numPr>
        <w:spacing w:after="80"/>
      </w:pPr>
      <w:r>
        <w:rPr>
          <w:sz w:val="22"/>
          <w:szCs w:val="22"/>
        </w:rPr>
        <w:t xml:space="preserve">Mengurangkan masa penyediaan laporan pengurusan sehingga 50%.</w:t>
      </w:r>
    </w:p>
    <w:p>
      <w:pPr>
        <w:pStyle w:val="ListParagraph"/>
        <w:numPr>
          <w:ilvl w:val="0"/>
          <w:numId w:val="2"/>
        </w:numPr>
        <w:spacing w:after="80"/>
      </w:pPr>
      <w:r>
        <w:rPr>
          <w:sz w:val="22"/>
          <w:szCs w:val="22"/>
        </w:rPr>
        <w:t xml:space="preserve">Meningkatkan kadar penyempurnaan program (project completion rate) melalui pemantauan proaktif.</w:t>
      </w:r>
    </w:p>
    <w:p>
      <w:pPr>
        <w:pStyle w:val="Heading1"/>
        <w:pBdr>
          <w:bottom w:val="single" w:color="1F3864" w:sz="8" w:space="4"/>
        </w:pBdr>
        <w:spacing w:after="180" w:before="360"/>
      </w:pPr>
      <w:r>
        <w:rPr>
          <w:b/>
          <w:bCs/>
          <w:color w:val="1F3864"/>
          <w:sz w:val="30"/>
          <w:szCs w:val="30"/>
        </w:rPr>
        <w:t xml:space="preserve">3. PENGGUNA SASARAN DAN PERANAN (USER PERSONAS &amp; ROLES)</w:t>
      </w:r>
    </w:p>
    <w:p>
      <w:pPr>
        <w:spacing w:after="160" w:line="276"/>
        <w:jc w:val="both"/>
      </w:pPr>
      <w:r>
        <w:rPr>
          <w:sz w:val="22"/>
          <w:szCs w:val="22"/>
        </w:rPr>
        <w:t xml:space="preserve">Sistem ini direka untuk menyokong pelbagai peringkat pengguna dalam ekosistem KPKT dan PBT, dengan capaian yang dikawal mengikut peranan (Role-Based Access Control - RBAC).</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780"/>
      </w:tblGrid>
      <w:tr>
        <w:tc>
          <w:tcPr>
            <w:tcW w:type="dxa" w:w="1900"/>
            <w:shd w:fill="1F3864" w:val="clear"/>
            <w:tcMar>
              <w:top w:type="dxa" w:w="80"/>
              <w:left w:type="dxa" w:w="100"/>
              <w:bottom w:type="dxa" w:w="80"/>
              <w:right w:type="dxa" w:w="100"/>
            </w:tcMar>
            <w:vAlign w:val="center"/>
          </w:tcPr>
          <w:p>
            <w:r>
              <w:rPr>
                <w:b/>
                <w:bCs/>
                <w:color w:val="FFFFFF"/>
                <w:sz w:val="20"/>
                <w:szCs w:val="20"/>
              </w:rPr>
              <w:t xml:space="preserve">Peranan (Role)</w:t>
            </w:r>
          </w:p>
        </w:tc>
        <w:tc>
          <w:tcPr>
            <w:tcW w:type="dxa" w:w="2500"/>
            <w:shd w:fill="1F3864" w:val="clear"/>
            <w:tcMar>
              <w:top w:type="dxa" w:w="80"/>
              <w:left w:type="dxa" w:w="100"/>
              <w:bottom w:type="dxa" w:w="80"/>
              <w:right w:type="dxa" w:w="100"/>
            </w:tcMar>
            <w:vAlign w:val="center"/>
          </w:tcPr>
          <w:p>
            <w:r>
              <w:rPr>
                <w:b/>
                <w:bCs/>
                <w:color w:val="FFFFFF"/>
                <w:sz w:val="20"/>
                <w:szCs w:val="20"/>
              </w:rPr>
              <w:t xml:space="preserve">Contoh Pengguna</w:t>
            </w:r>
          </w:p>
        </w:tc>
        <w:tc>
          <w:tcPr>
            <w:tcW w:type="dxa" w:w="4780"/>
            <w:shd w:fill="1F3864" w:val="clear"/>
            <w:tcMar>
              <w:top w:type="dxa" w:w="80"/>
              <w:left w:type="dxa" w:w="100"/>
              <w:bottom w:type="dxa" w:w="80"/>
              <w:right w:type="dxa" w:w="100"/>
            </w:tcMar>
            <w:vAlign w:val="center"/>
          </w:tcPr>
          <w:p>
            <w:r>
              <w:rPr>
                <w:b/>
                <w:bCs/>
                <w:color w:val="FFFFFF"/>
                <w:sz w:val="20"/>
                <w:szCs w:val="20"/>
              </w:rPr>
              <w:t xml:space="preserve">Keperluan Utama</w:t>
            </w:r>
          </w:p>
        </w:tc>
      </w:tr>
      <w:tr>
        <w:tc>
          <w:tcPr>
            <w:tcW w:type="dxa" w:w="1900"/>
            <w:tcMar>
              <w:top w:type="dxa" w:w="80"/>
              <w:left w:type="dxa" w:w="100"/>
              <w:bottom w:type="dxa" w:w="80"/>
              <w:right w:type="dxa" w:w="100"/>
            </w:tcMar>
            <w:vAlign w:val="center"/>
          </w:tcPr>
          <w:p>
            <w:r>
              <w:rPr>
                <w:b w:val="false"/>
                <w:bCs w:val="false"/>
                <w:color w:val="000000"/>
                <w:sz w:val="20"/>
                <w:szCs w:val="20"/>
              </w:rPr>
              <w:t xml:space="preserve">Pentadbir Sistem (Admin)</w:t>
            </w:r>
          </w:p>
        </w:tc>
        <w:tc>
          <w:tcPr>
            <w:tcW w:type="dxa" w:w="2500"/>
            <w:tcMar>
              <w:top w:type="dxa" w:w="80"/>
              <w:left w:type="dxa" w:w="100"/>
              <w:bottom w:type="dxa" w:w="80"/>
              <w:right w:type="dxa" w:w="100"/>
            </w:tcMar>
            <w:vAlign w:val="center"/>
          </w:tcPr>
          <w:p>
            <w:r>
              <w:rPr>
                <w:b w:val="false"/>
                <w:bCs w:val="false"/>
                <w:color w:val="000000"/>
                <w:sz w:val="20"/>
                <w:szCs w:val="20"/>
              </w:rPr>
              <w:t xml:space="preserve">Bahagian ICT KPKT</w:t>
            </w:r>
          </w:p>
        </w:tc>
        <w:tc>
          <w:tcPr>
            <w:tcW w:type="dxa" w:w="4780"/>
            <w:tcMar>
              <w:top w:type="dxa" w:w="80"/>
              <w:left w:type="dxa" w:w="100"/>
              <w:bottom w:type="dxa" w:w="80"/>
              <w:right w:type="dxa" w:w="100"/>
            </w:tcMar>
            <w:vAlign w:val="center"/>
          </w:tcPr>
          <w:p>
            <w:r>
              <w:rPr>
                <w:b w:val="false"/>
                <w:bCs w:val="false"/>
                <w:color w:val="000000"/>
                <w:sz w:val="20"/>
                <w:szCs w:val="20"/>
              </w:rPr>
              <w:t xml:space="preserve">Pengurusan pengguna, konfigurasi sistem, capaian penuh semua modul</w:t>
            </w:r>
          </w:p>
        </w:tc>
      </w:tr>
      <w:tr>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Pengurus Program (Program Manager)</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Pegawai Bahagian Pembangunan Komuniti</w:t>
            </w:r>
          </w:p>
        </w:tc>
        <w:tc>
          <w:tcPr>
            <w:tcW w:type="dxa" w:w="4780"/>
            <w:shd w:fill="F2F2F2" w:val="clear"/>
            <w:tcMar>
              <w:top w:type="dxa" w:w="80"/>
              <w:left w:type="dxa" w:w="100"/>
              <w:bottom w:type="dxa" w:w="80"/>
              <w:right w:type="dxa" w:w="100"/>
            </w:tcMar>
            <w:vAlign w:val="center"/>
          </w:tcPr>
          <w:p>
            <w:r>
              <w:rPr>
                <w:b w:val="false"/>
                <w:bCs w:val="false"/>
                <w:color w:val="000000"/>
                <w:sz w:val="20"/>
                <w:szCs w:val="20"/>
              </w:rPr>
              <w:t xml:space="preserve">Mencipta &amp; mengurus perancangan program, kemas kini status pelaksanaan</w:t>
            </w:r>
          </w:p>
        </w:tc>
      </w:tr>
      <w:tr>
        <w:tc>
          <w:tcPr>
            <w:tcW w:type="dxa" w:w="1900"/>
            <w:tcMar>
              <w:top w:type="dxa" w:w="80"/>
              <w:left w:type="dxa" w:w="100"/>
              <w:bottom w:type="dxa" w:w="80"/>
              <w:right w:type="dxa" w:w="100"/>
            </w:tcMar>
            <w:vAlign w:val="center"/>
          </w:tcPr>
          <w:p>
            <w:r>
              <w:rPr>
                <w:b w:val="false"/>
                <w:bCs w:val="false"/>
                <w:color w:val="000000"/>
                <w:sz w:val="20"/>
                <w:szCs w:val="20"/>
              </w:rPr>
              <w:t xml:space="preserve">Pegawai PBT (Field Officer)</w:t>
            </w:r>
          </w:p>
        </w:tc>
        <w:tc>
          <w:tcPr>
            <w:tcW w:type="dxa" w:w="2500"/>
            <w:tcMar>
              <w:top w:type="dxa" w:w="80"/>
              <w:left w:type="dxa" w:w="100"/>
              <w:bottom w:type="dxa" w:w="80"/>
              <w:right w:type="dxa" w:w="100"/>
            </w:tcMar>
            <w:vAlign w:val="center"/>
          </w:tcPr>
          <w:p>
            <w:r>
              <w:rPr>
                <w:b w:val="false"/>
                <w:bCs w:val="false"/>
                <w:color w:val="000000"/>
                <w:sz w:val="20"/>
                <w:szCs w:val="20"/>
              </w:rPr>
              <w:t xml:space="preserve">Pegawai Majlis Daerah/Perbandaran</w:t>
            </w:r>
          </w:p>
        </w:tc>
        <w:tc>
          <w:tcPr>
            <w:tcW w:type="dxa" w:w="4780"/>
            <w:tcMar>
              <w:top w:type="dxa" w:w="80"/>
              <w:left w:type="dxa" w:w="100"/>
              <w:bottom w:type="dxa" w:w="80"/>
              <w:right w:type="dxa" w:w="100"/>
            </w:tcMar>
            <w:vAlign w:val="center"/>
          </w:tcPr>
          <w:p>
            <w:r>
              <w:rPr>
                <w:b w:val="false"/>
                <w:bCs w:val="false"/>
                <w:color w:val="000000"/>
                <w:sz w:val="20"/>
                <w:szCs w:val="20"/>
              </w:rPr>
              <w:t xml:space="preserve">Kemas kini data pelaksanaan program di peringkat lapangan, muat naik bukti pelaksanaan</w:t>
            </w:r>
          </w:p>
        </w:tc>
      </w:tr>
      <w:tr>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Penilai Program (Evaluator)</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Bahagian Perancangan Strategik</w:t>
            </w:r>
          </w:p>
        </w:tc>
        <w:tc>
          <w:tcPr>
            <w:tcW w:type="dxa" w:w="4780"/>
            <w:shd w:fill="F2F2F2" w:val="clear"/>
            <w:tcMar>
              <w:top w:type="dxa" w:w="80"/>
              <w:left w:type="dxa" w:w="100"/>
              <w:bottom w:type="dxa" w:w="80"/>
              <w:right w:type="dxa" w:w="100"/>
            </w:tcMar>
            <w:vAlign w:val="center"/>
          </w:tcPr>
          <w:p>
            <w:r>
              <w:rPr>
                <w:b w:val="false"/>
                <w:bCs w:val="false"/>
                <w:color w:val="000000"/>
                <w:sz w:val="20"/>
                <w:szCs w:val="20"/>
              </w:rPr>
              <w:t xml:space="preserve">Menjalankan penilaian pasca-pelaksanaan, merekod dapatan impak &amp; KPI</w:t>
            </w:r>
          </w:p>
        </w:tc>
      </w:tr>
      <w:tr>
        <w:tc>
          <w:tcPr>
            <w:tcW w:type="dxa" w:w="1900"/>
            <w:tcMar>
              <w:top w:type="dxa" w:w="80"/>
              <w:left w:type="dxa" w:w="100"/>
              <w:bottom w:type="dxa" w:w="80"/>
              <w:right w:type="dxa" w:w="100"/>
            </w:tcMar>
            <w:vAlign w:val="center"/>
          </w:tcPr>
          <w:p>
            <w:r>
              <w:rPr>
                <w:b w:val="false"/>
                <w:bCs w:val="false"/>
                <w:color w:val="000000"/>
                <w:sz w:val="20"/>
                <w:szCs w:val="20"/>
              </w:rPr>
              <w:t xml:space="preserve">Pengurusan Atasan (Top Management)</w:t>
            </w:r>
          </w:p>
        </w:tc>
        <w:tc>
          <w:tcPr>
            <w:tcW w:type="dxa" w:w="2500"/>
            <w:tcMar>
              <w:top w:type="dxa" w:w="80"/>
              <w:left w:type="dxa" w:w="100"/>
              <w:bottom w:type="dxa" w:w="80"/>
              <w:right w:type="dxa" w:w="100"/>
            </w:tcMar>
            <w:vAlign w:val="center"/>
          </w:tcPr>
          <w:p>
            <w:r>
              <w:rPr>
                <w:b w:val="false"/>
                <w:bCs w:val="false"/>
                <w:color w:val="000000"/>
                <w:sz w:val="20"/>
                <w:szCs w:val="20"/>
              </w:rPr>
              <w:t xml:space="preserve">Ketua Setiausaha, Timbalan KSU, Ketua Bahagian</w:t>
            </w:r>
          </w:p>
        </w:tc>
        <w:tc>
          <w:tcPr>
            <w:tcW w:type="dxa" w:w="4780"/>
            <w:tcMar>
              <w:top w:type="dxa" w:w="80"/>
              <w:left w:type="dxa" w:w="100"/>
              <w:bottom w:type="dxa" w:w="80"/>
              <w:right w:type="dxa" w:w="100"/>
            </w:tcMar>
            <w:vAlign w:val="center"/>
          </w:tcPr>
          <w:p>
            <w:r>
              <w:rPr>
                <w:b w:val="false"/>
                <w:bCs w:val="false"/>
                <w:color w:val="000000"/>
                <w:sz w:val="20"/>
                <w:szCs w:val="20"/>
              </w:rPr>
              <w:t xml:space="preserve">Melihat dashboard eksekutif, laporan ringkasan, analitik strategik</w:t>
            </w:r>
          </w:p>
        </w:tc>
      </w:tr>
      <w:tr>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Orang Awam/Pihak Berkepentingan (Public View - opsyenal)</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Rakyat, NGO, media</w:t>
            </w:r>
          </w:p>
        </w:tc>
        <w:tc>
          <w:tcPr>
            <w:tcW w:type="dxa" w:w="4780"/>
            <w:shd w:fill="F2F2F2" w:val="clear"/>
            <w:tcMar>
              <w:top w:type="dxa" w:w="80"/>
              <w:left w:type="dxa" w:w="100"/>
              <w:bottom w:type="dxa" w:w="80"/>
              <w:right w:type="dxa" w:w="100"/>
            </w:tcMar>
            <w:vAlign w:val="center"/>
          </w:tcPr>
          <w:p>
            <w:r>
              <w:rPr>
                <w:b w:val="false"/>
                <w:bCs w:val="false"/>
                <w:color w:val="000000"/>
                <w:sz w:val="20"/>
                <w:szCs w:val="20"/>
              </w:rPr>
              <w:t xml:space="preserve">Melihat maklumat program secara terhad (read-only, ringkasan)</w:t>
            </w:r>
          </w:p>
        </w:tc>
      </w:tr>
    </w:tbl>
    <w:p>
      <w:pPr>
        <w:pStyle w:val="Heading1"/>
        <w:pBdr>
          <w:bottom w:val="single" w:color="1F3864" w:sz="8" w:space="4"/>
        </w:pBdr>
        <w:spacing w:after="180" w:before="360"/>
      </w:pPr>
      <w:r>
        <w:rPr>
          <w:b/>
          <w:bCs/>
          <w:color w:val="1F3864"/>
          <w:sz w:val="30"/>
          <w:szCs w:val="30"/>
        </w:rPr>
        <w:t xml:space="preserve">4. KITARAN HAYAT PROGRAM (PROGRAM LIFECYCLE)</w:t>
      </w:r>
    </w:p>
    <w:p>
      <w:pPr>
        <w:spacing w:after="160" w:line="276"/>
        <w:jc w:val="both"/>
      </w:pPr>
      <w:r>
        <w:rPr>
          <w:sz w:val="22"/>
          <w:szCs w:val="22"/>
        </w:rPr>
        <w:t xml:space="preserve">Sistem DPPK direka berasaskan lima (5) fasa kitaran hayat program pembangunan komuniti seperti berikut, di mana setiap fasa disokong oleh modul khusus dalam dashboard:</w:t>
      </w:r>
    </w:p>
    <w:p>
      <w:pPr>
        <w:pStyle w:val="ListParagraph"/>
        <w:numPr>
          <w:ilvl w:val="0"/>
          <w:numId w:val="3"/>
        </w:numPr>
        <w:spacing w:after="80"/>
      </w:pPr>
      <w:r>
        <w:rPr>
          <w:sz w:val="22"/>
          <w:szCs w:val="22"/>
        </w:rPr>
        <w:t xml:space="preserve">Fasa 1 — Perancangan (Planning): Pengenalpastian keperluan komuniti, penetapan objektif, sasaran, bajet dan jadual pelaksanaan program.</w:t>
      </w:r>
    </w:p>
    <w:p>
      <w:pPr>
        <w:pStyle w:val="ListParagraph"/>
        <w:numPr>
          <w:ilvl w:val="0"/>
          <w:numId w:val="3"/>
        </w:numPr>
        <w:spacing w:after="80"/>
      </w:pPr>
      <w:r>
        <w:rPr>
          <w:sz w:val="22"/>
          <w:szCs w:val="22"/>
        </w:rPr>
        <w:t xml:space="preserve">Fasa 2 — Kelulusan &amp; Peruntukan (Approval &amp; Budgeting): Proses kelulusan program dan peruntukan bajet/sumber.</w:t>
      </w:r>
    </w:p>
    <w:p>
      <w:pPr>
        <w:pStyle w:val="ListParagraph"/>
        <w:numPr>
          <w:ilvl w:val="0"/>
          <w:numId w:val="3"/>
        </w:numPr>
        <w:spacing w:after="80"/>
      </w:pPr>
      <w:r>
        <w:rPr>
          <w:sz w:val="22"/>
          <w:szCs w:val="22"/>
        </w:rPr>
        <w:t xml:space="preserve">Fasa 3 — Pelaksanaan (Implementation): Pelaksanaan aktiviti program di peringkat lapangan dengan kemas kini status secara berkala.</w:t>
      </w:r>
    </w:p>
    <w:p>
      <w:pPr>
        <w:pStyle w:val="ListParagraph"/>
        <w:numPr>
          <w:ilvl w:val="0"/>
          <w:numId w:val="3"/>
        </w:numPr>
        <w:spacing w:after="80"/>
      </w:pPr>
      <w:r>
        <w:rPr>
          <w:sz w:val="22"/>
          <w:szCs w:val="22"/>
        </w:rPr>
        <w:t xml:space="preserve">Fasa 4 — Pemantauan (Monitoring): Penjejakan kemajuan (progress tracking), pengurusan isu/risiko, dan pematuhan jadual.</w:t>
      </w:r>
    </w:p>
    <w:p>
      <w:pPr>
        <w:pStyle w:val="ListParagraph"/>
        <w:numPr>
          <w:ilvl w:val="0"/>
          <w:numId w:val="3"/>
        </w:numPr>
        <w:spacing w:after="80"/>
      </w:pPr>
      <w:r>
        <w:rPr>
          <w:sz w:val="22"/>
          <w:szCs w:val="22"/>
        </w:rPr>
        <w:t xml:space="preserve">Fasa 5 — Penilaian (Evaluation): Penilaian hasil (output), kesan (outcome) dan impak (impact) program terhadap komuniti sasaran, serta pengklasifikasian pengajaran (lessons learned).</w:t>
      </w:r>
    </w:p>
    <w:p>
      <w:pPr>
        <w:pStyle w:val="Heading1"/>
        <w:pBdr>
          <w:bottom w:val="single" w:color="1F3864" w:sz="8" w:space="4"/>
        </w:pBdr>
        <w:spacing w:after="180" w:before="360"/>
      </w:pPr>
      <w:r>
        <w:rPr>
          <w:b/>
          <w:bCs/>
          <w:color w:val="1F3864"/>
          <w:sz w:val="30"/>
          <w:szCs w:val="30"/>
        </w:rPr>
        <w:t xml:space="preserve">5. KEPERLUAN FUNGSIAN (FUNCTIONAL REQUIREMENTS)</w:t>
      </w:r>
    </w:p>
    <w:p>
      <w:pPr>
        <w:pStyle w:val="Heading2"/>
        <w:spacing w:after="140" w:before="260"/>
      </w:pPr>
      <w:r>
        <w:rPr>
          <w:b/>
          <w:bCs/>
          <w:color w:val="2E5395"/>
          <w:sz w:val="25"/>
          <w:szCs w:val="25"/>
        </w:rPr>
        <w:t xml:space="preserve">5.1 Modul 1: Papan Pemuka Utama (Executive Dashboard)</w:t>
      </w:r>
    </w:p>
    <w:p>
      <w:pPr>
        <w:spacing w:after="160" w:line="276"/>
        <w:jc w:val="both"/>
      </w:pPr>
      <w:r>
        <w:rPr>
          <w:sz w:val="22"/>
          <w:szCs w:val="22"/>
        </w:rPr>
        <w:t xml:space="preserve">Modul ini memaparkan ringkasan menyeluruh (overview) semua program mengikut status, wilayah, kategori dan bajet.</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000"/>
        <w:gridCol w:w="7480"/>
        <w:gridCol w:w="700"/>
      </w:tblGrid>
      <w:tr>
        <w:tc>
          <w:tcPr>
            <w:tcW w:type="dxa" w:w="10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480"/>
            <w:shd w:fill="1F3864" w:val="clear"/>
            <w:tcMar>
              <w:top w:type="dxa" w:w="80"/>
              <w:left w:type="dxa" w:w="100"/>
              <w:bottom w:type="dxa" w:w="80"/>
              <w:right w:type="dxa" w:w="100"/>
            </w:tcMar>
            <w:vAlign w:val="center"/>
          </w:tcPr>
          <w:p>
            <w:r>
              <w:rPr>
                <w:b/>
                <w:bCs/>
                <w:color w:val="FFFFFF"/>
                <w:sz w:val="20"/>
                <w:szCs w:val="20"/>
              </w:rPr>
              <w:t xml:space="preserve">Keperluan</w:t>
            </w:r>
          </w:p>
        </w:tc>
        <w:tc>
          <w:tcPr>
            <w:tcW w:type="dxa" w:w="700"/>
            <w:shd w:fill="1F3864" w:val="clear"/>
            <w:tcMar>
              <w:top w:type="dxa" w:w="80"/>
              <w:left w:type="dxa" w:w="100"/>
              <w:bottom w:type="dxa" w:w="80"/>
              <w:right w:type="dxa" w:w="100"/>
            </w:tcMar>
            <w:vAlign w:val="center"/>
          </w:tcPr>
          <w:p>
            <w:r>
              <w:rPr>
                <w:b/>
                <w:bCs/>
                <w:color w:val="FFFFFF"/>
                <w:sz w:val="20"/>
                <w:szCs w:val="20"/>
              </w:rPr>
              <w:t xml:space="preserve">Prioriti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FR-1.1</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memaparkan jumlah keseluruhan program mengikut status (Perancangan, Diluluskan, Dalam Pelaksanaan, Selesai, Tergendala)</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FR-1.2</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memaparkan carta peta (map view) taburan program mengikut negeri/daerah di Malaysia</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FR-1.3</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memaparkan carta prestasi bajet (peruntukan vs perbelanjaan sebenar)</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FR-1.4</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menyediakan penapis (filter) mengikut tahun, negeri, kategori program dan status</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FR-1.5</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memaparkan KPI ringkasan (bilangan penerima manfaat, kadar siap, kadar impak positif)</w:t>
            </w:r>
          </w:p>
        </w:tc>
        <w:tc>
          <w:tcPr>
            <w:tcW w:type="dxa" w:w="700"/>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FR-1.6</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membenarkan eksport dashboard kepada format PDF/imej untuk pembentangan</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Rendah</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FR-1.7</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memaparkan kad ringkasan (summary card) Siling Peruntukan OE tahun semasa yang diluluskan MOF, jumlah dibelanjakan, dan peratus penggunaan (% utilization) di bahagian atas dashboard eksekutif</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bl>
    <w:p>
      <w:pPr>
        <w:pStyle w:val="Heading2"/>
        <w:spacing w:after="140" w:before="260"/>
      </w:pPr>
      <w:r>
        <w:rPr>
          <w:b/>
          <w:bCs/>
          <w:color w:val="2E5395"/>
          <w:sz w:val="25"/>
          <w:szCs w:val="25"/>
        </w:rPr>
        <w:t xml:space="preserve">5.2 Modul 2: Perancangan Program (Program Planning)</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000"/>
        <w:gridCol w:w="7480"/>
        <w:gridCol w:w="700"/>
      </w:tblGrid>
      <w:tr>
        <w:tc>
          <w:tcPr>
            <w:tcW w:type="dxa" w:w="10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480"/>
            <w:shd w:fill="1F3864" w:val="clear"/>
            <w:tcMar>
              <w:top w:type="dxa" w:w="80"/>
              <w:left w:type="dxa" w:w="100"/>
              <w:bottom w:type="dxa" w:w="80"/>
              <w:right w:type="dxa" w:w="100"/>
            </w:tcMar>
            <w:vAlign w:val="center"/>
          </w:tcPr>
          <w:p>
            <w:r>
              <w:rPr>
                <w:b/>
                <w:bCs/>
                <w:color w:val="FFFFFF"/>
                <w:sz w:val="20"/>
                <w:szCs w:val="20"/>
              </w:rPr>
              <w:t xml:space="preserve">Keperluan</w:t>
            </w:r>
          </w:p>
        </w:tc>
        <w:tc>
          <w:tcPr>
            <w:tcW w:type="dxa" w:w="700"/>
            <w:shd w:fill="1F3864" w:val="clear"/>
            <w:tcMar>
              <w:top w:type="dxa" w:w="80"/>
              <w:left w:type="dxa" w:w="100"/>
              <w:bottom w:type="dxa" w:w="80"/>
              <w:right w:type="dxa" w:w="100"/>
            </w:tcMar>
            <w:vAlign w:val="center"/>
          </w:tcPr>
          <w:p>
            <w:r>
              <w:rPr>
                <w:b/>
                <w:bCs/>
                <w:color w:val="FFFFFF"/>
                <w:sz w:val="20"/>
                <w:szCs w:val="20"/>
              </w:rPr>
              <w:t xml:space="preserve">Prioriti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FR-2.1</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membenarkan pengguna mencipta cadangan program baharu (nama, kategori, lokasi, objektif, kumpulan sasaran, tempoh)</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FR-2.2</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membenarkan penetapan bajet dianggar dan sumber (manusia, peralatan, kewangan) bagi setiap program</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FR-2.3</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membenarkan penetapan KPI dan sasaran (target) terukur bagi setiap program semasa fasa perancangan</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FR-2.4</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menyokong aliran kerja kelulusan (approval workflow) berbilang peringkat (draf → semakan → kelulusan)</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FR-2.5</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membenarkan lampiran dokumen sokongan (kertas cadangan, kajian keperluan komuniti)</w:t>
            </w:r>
          </w:p>
        </w:tc>
        <w:tc>
          <w:tcPr>
            <w:tcW w:type="dxa" w:w="700"/>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FR-2.6</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memaparkan senarai program mengikut status perancangan dalam bentuk jadual dan carta Gantt</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FR-2.7</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membenarkan pemilihan templat program berdasarkan program lepas yang serupa</w:t>
            </w:r>
          </w:p>
        </w:tc>
        <w:tc>
          <w:tcPr>
            <w:tcW w:type="dxa" w:w="700"/>
            <w:tcMar>
              <w:top w:type="dxa" w:w="80"/>
              <w:left w:type="dxa" w:w="100"/>
              <w:bottom w:type="dxa" w:w="80"/>
              <w:right w:type="dxa" w:w="100"/>
            </w:tcMar>
            <w:vAlign w:val="center"/>
          </w:tcPr>
          <w:p>
            <w:r>
              <w:rPr>
                <w:b w:val="false"/>
                <w:bCs w:val="false"/>
                <w:color w:val="000000"/>
                <w:sz w:val="20"/>
                <w:szCs w:val="20"/>
              </w:rPr>
              <w:t xml:space="preserve">Rendah</w:t>
            </w:r>
          </w:p>
        </w:tc>
      </w:tr>
    </w:tbl>
    <w:p>
      <w:pPr>
        <w:pStyle w:val="Heading2"/>
        <w:spacing w:after="140" w:before="260"/>
      </w:pPr>
      <w:r>
        <w:rPr>
          <w:b/>
          <w:bCs/>
          <w:color w:val="2E5395"/>
          <w:sz w:val="25"/>
          <w:szCs w:val="25"/>
        </w:rPr>
        <w:t xml:space="preserve">5.3 Modul 3: Pengurusan Bajet &amp; Sumber (Budget &amp; Resource Management)</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000"/>
        <w:gridCol w:w="7480"/>
        <w:gridCol w:w="700"/>
      </w:tblGrid>
      <w:tr>
        <w:tc>
          <w:tcPr>
            <w:tcW w:type="dxa" w:w="10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480"/>
            <w:shd w:fill="1F3864" w:val="clear"/>
            <w:tcMar>
              <w:top w:type="dxa" w:w="80"/>
              <w:left w:type="dxa" w:w="100"/>
              <w:bottom w:type="dxa" w:w="80"/>
              <w:right w:type="dxa" w:w="100"/>
            </w:tcMar>
            <w:vAlign w:val="center"/>
          </w:tcPr>
          <w:p>
            <w:r>
              <w:rPr>
                <w:b/>
                <w:bCs/>
                <w:color w:val="FFFFFF"/>
                <w:sz w:val="20"/>
                <w:szCs w:val="20"/>
              </w:rPr>
              <w:t xml:space="preserve">Keperluan</w:t>
            </w:r>
          </w:p>
        </w:tc>
        <w:tc>
          <w:tcPr>
            <w:tcW w:type="dxa" w:w="700"/>
            <w:shd w:fill="1F3864" w:val="clear"/>
            <w:tcMar>
              <w:top w:type="dxa" w:w="80"/>
              <w:left w:type="dxa" w:w="100"/>
              <w:bottom w:type="dxa" w:w="80"/>
              <w:right w:type="dxa" w:w="100"/>
            </w:tcMar>
            <w:vAlign w:val="center"/>
          </w:tcPr>
          <w:p>
            <w:r>
              <w:rPr>
                <w:b/>
                <w:bCs/>
                <w:color w:val="FFFFFF"/>
                <w:sz w:val="20"/>
                <w:szCs w:val="20"/>
              </w:rPr>
              <w:t xml:space="preserve">Prioriti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FR-3.1</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memaparkan pecahan peruntukan bajet mengikut kategori perbelanjaan</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FR-3.2</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menjejak perbelanjaan sebenar berbanding peruntukan (variance analysis) secara automatik</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FR-3.3</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memberi amaran (alert) apabila perbelanjaan menghampiri atau melebihi had peruntukan</w:t>
            </w:r>
          </w:p>
        </w:tc>
        <w:tc>
          <w:tcPr>
            <w:tcW w:type="dxa" w:w="700"/>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FR-3.4</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membenarkan penambahbaikan/pindaan peruntukan (budget revision) dengan rekod audit trail</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Sederhana</w:t>
            </w:r>
          </w:p>
        </w:tc>
      </w:tr>
    </w:tbl>
    <w:p>
      <w:pPr>
        <w:pStyle w:val="Heading3"/>
        <w:spacing w:after="100" w:before="200"/>
      </w:pPr>
      <w:r>
        <w:rPr>
          <w:b/>
          <w:bCs/>
          <w:color w:val="595959"/>
          <w:sz w:val="22"/>
          <w:szCs w:val="22"/>
        </w:rPr>
        <w:t xml:space="preserve">5.3.1 Sub-Modul: Pemantauan Peruntukan OE Kementerian Kewangan (MOF Operating Expenditure Monitoring)</w:t>
      </w:r>
    </w:p>
    <w:p>
      <w:pPr>
        <w:spacing w:after="160" w:line="276"/>
        <w:jc w:val="both"/>
      </w:pPr>
      <w:r>
        <w:rPr>
          <w:sz w:val="22"/>
          <w:szCs w:val="22"/>
        </w:rPr>
        <w:t xml:space="preserve">Sub-modul ini direka khusus untuk memantau penggunaan Bajet Pengurusan (Operating Expenditure - OE) yang diluluskan oleh Kementerian Kewangan (MOF) kepada KPKT bagi setiap tahun kewangan, selari dengan proses Anggaran Belanjawan Persekutuan dan Surat Pekeliling Perbendaharaan (SPP) yang berkuat kuasa. Sub-modul ini membolehkan pengurusan program menjejak siling peruntukan, waran yang dikeluarkan, kadar perbelanjaan, dan baki peruntukan bagi setiap objek am/aktiviti secara berasingan daripada peruntukan operasi dalaman kementerian, supaya pematuhan kepada had yang diluluskan MOF dapat dipantau secara berterusan.</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000"/>
        <w:gridCol w:w="7480"/>
        <w:gridCol w:w="700"/>
      </w:tblGrid>
      <w:tr>
        <w:tc>
          <w:tcPr>
            <w:tcW w:type="dxa" w:w="10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480"/>
            <w:shd w:fill="1F3864" w:val="clear"/>
            <w:tcMar>
              <w:top w:type="dxa" w:w="80"/>
              <w:left w:type="dxa" w:w="100"/>
              <w:bottom w:type="dxa" w:w="80"/>
              <w:right w:type="dxa" w:w="100"/>
            </w:tcMar>
            <w:vAlign w:val="center"/>
          </w:tcPr>
          <w:p>
            <w:r>
              <w:rPr>
                <w:b/>
                <w:bCs/>
                <w:color w:val="FFFFFF"/>
                <w:sz w:val="20"/>
                <w:szCs w:val="20"/>
              </w:rPr>
              <w:t xml:space="preserve">Keperluan</w:t>
            </w:r>
          </w:p>
        </w:tc>
        <w:tc>
          <w:tcPr>
            <w:tcW w:type="dxa" w:w="700"/>
            <w:shd w:fill="1F3864" w:val="clear"/>
            <w:tcMar>
              <w:top w:type="dxa" w:w="80"/>
              <w:left w:type="dxa" w:w="100"/>
              <w:bottom w:type="dxa" w:w="80"/>
              <w:right w:type="dxa" w:w="100"/>
            </w:tcMar>
            <w:vAlign w:val="center"/>
          </w:tcPr>
          <w:p>
            <w:r>
              <w:rPr>
                <w:b/>
                <w:bCs/>
                <w:color w:val="FFFFFF"/>
                <w:sz w:val="20"/>
                <w:szCs w:val="20"/>
              </w:rPr>
              <w:t xml:space="preserve">Prioriti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FR-3.5</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membenarkan input/muat naik Siling Peruntukan OE tahunan yang diluluskan MOF bagi setiap Bahagian/Program, mengikut Objek Am (Emolumen, Perkhidmatan &amp; Bekalan, Aset, Bantuan &amp; Kebajikan, dsb.) sebagaimana struktur iGFMAS</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FR-3.6</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merekod dan menjejak Waran Peruntukan (nombor waran, tarikh keluar, jumlah, objek am berkaitan) yang dikeluarkan oleh MOF sepanjang tahun kewangan</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FR-3.7</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mengira dan memaparkan Baki Peruntukan OE (Siling − Jumlah Dibelanjakan − Jumlah Ditempah/Komited) secara automatik dan masa nyata bagi setiap program dan objek am</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FR-3.8</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memaparkan carta kadar perbelanjaan (burn rate) OE bulanan/suku tahunan berbanding unjuran perbelanjaan yang dirancang</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FR-3.9</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mengklasifikasikan status penggunaan peruntukan mengikut penunjuk warna: Hijau (&lt; 80% siling), Kuning (80%–95% siling), Merah (&gt; 95% siling atau berisiko lebihan peruntukan/overspend)</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FR-3.10</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menyokong proses permohonan dan rekod Virement (pindahan peruntukan antara objek am/aktiviti) berserta status kelulusan MOF/Perbendaharaan</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FR-3.11</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menjana Laporan Prestasi Perbelanjaan OE mengikut format yang selaras dengan keperluan pelaporan MOF (contoh: Laporan Suku Tahunan Prestasi Perbelanjaan, Laporan ICU JPM)</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FR-3.12</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membenarkan perbandingan peruntukan OE antara tahun kewangan (trend multi-tahun) bagi tujuan unjuran belanjawan akan datang</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FR-3.13</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memberi amaran automatik kepada Pengurus Program dan Pentadbir sekiranya baki peruntukan tidak mencukupi untuk menampung komitmen program yang dirancang</w:t>
            </w:r>
          </w:p>
        </w:tc>
        <w:tc>
          <w:tcPr>
            <w:tcW w:type="dxa" w:w="700"/>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FR-3.14</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menyediakan medan rujukan integrasi (contoh: kod vot, kod aktiviti, kod projek) yang selaras dengan struktur iGFMAS bagi memudahkan penyelarasan data pada fasa integrasi sistem sebenar</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Rendah</w:t>
            </w:r>
          </w:p>
        </w:tc>
      </w:tr>
    </w:tbl>
    <w:p>
      <w:pPr>
        <w:spacing w:after="160" w:line="276"/>
        <w:jc w:val="both"/>
      </w:pPr>
      <w:r>
        <w:rPr>
          <w:sz w:val="22"/>
          <w:szCs w:val="22"/>
        </w:rPr>
        <w:t xml:space="preserve">Nota: Bagi Fasa 1 (MVP), data Siling Peruntukan OE, Waran Peruntukan dan rekod perbelanjaan akan disimulasikan menggunakan pangkalan data dummy (JSON) yang mencerminkan struktur sebenar iGFMAS/eSPKB, bagi membolehkan pengesahan aliran kerja dan paparan sebelum integrasi sebenar dengan sistem MOF dilaksanakan pada fasa akan datang (tertakluk kepada kelulusan capaian data rasmi daripada Kementerian Kewangan).</w:t>
      </w:r>
    </w:p>
    <w:p>
      <w:pPr>
        <w:pStyle w:val="Heading3"/>
        <w:spacing w:after="100" w:before="200"/>
      </w:pPr>
      <w:r>
        <w:rPr>
          <w:b/>
          <w:bCs/>
          <w:color w:val="595959"/>
          <w:sz w:val="22"/>
          <w:szCs w:val="22"/>
        </w:rPr>
        <w:t xml:space="preserve">5.3.2 Entiti Data Tambahan: Peruntukan OE</w:t>
      </w:r>
    </w:p>
    <w:p>
      <w:pPr>
        <w:spacing w:after="160" w:line="276"/>
        <w:jc w:val="both"/>
      </w:pPr>
      <w:r>
        <w:rPr>
          <w:sz w:val="22"/>
          <w:szCs w:val="22"/>
        </w:rPr>
        <w:t xml:space="preserve">Struktur data dummy tambahan bagi menyokong sub-modul ini adalah seperti berikut:</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480"/>
      </w:tblGrid>
      <w:tr>
        <w:tc>
          <w:tcPr>
            <w:tcW w:type="dxa" w:w="2200"/>
            <w:shd w:fill="1F3864" w:val="clear"/>
            <w:tcMar>
              <w:top w:type="dxa" w:w="80"/>
              <w:left w:type="dxa" w:w="100"/>
              <w:bottom w:type="dxa" w:w="80"/>
              <w:right w:type="dxa" w:w="100"/>
            </w:tcMar>
            <w:vAlign w:val="center"/>
          </w:tcPr>
          <w:p>
            <w:r>
              <w:rPr>
                <w:b/>
                <w:bCs/>
                <w:color w:val="FFFFFF"/>
                <w:sz w:val="20"/>
                <w:szCs w:val="20"/>
              </w:rPr>
              <w:t xml:space="preserve">Medan (Field)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Jenis Data</w:t>
            </w:r>
          </w:p>
        </w:tc>
        <w:tc>
          <w:tcPr>
            <w:tcW w:type="dxa" w:w="4480"/>
            <w:shd w:fill="1F3864" w:val="clear"/>
            <w:tcMar>
              <w:top w:type="dxa" w:w="80"/>
              <w:left w:type="dxa" w:w="100"/>
              <w:bottom w:type="dxa" w:w="80"/>
              <w:right w:type="dxa" w:w="100"/>
            </w:tcMar>
            <w:vAlign w:val="center"/>
          </w:tcPr>
          <w:p>
            <w:r>
              <w:rPr>
                <w:b/>
                <w:bCs/>
                <w:color w:val="FFFFFF"/>
                <w:sz w:val="20"/>
                <w:szCs w:val="20"/>
              </w:rPr>
              <w:t xml:space="preserve">Penerangan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idPeruntukan</w:t>
            </w:r>
          </w:p>
        </w:tc>
        <w:tc>
          <w:tcPr>
            <w:tcW w:type="dxa" w:w="2500"/>
            <w:tcMar>
              <w:top w:type="dxa" w:w="80"/>
              <w:left w:type="dxa" w:w="100"/>
              <w:bottom w:type="dxa" w:w="80"/>
              <w:right w:type="dxa" w:w="100"/>
            </w:tcMar>
            <w:vAlign w:val="center"/>
          </w:tcPr>
          <w:p>
            <w:r>
              <w:rPr>
                <w:b w:val="false"/>
                <w:bCs w:val="false"/>
                <w:color w:val="000000"/>
                <w:sz w:val="20"/>
                <w:szCs w:val="20"/>
              </w:rPr>
              <w:t xml:space="preserve">String/UUID</w:t>
            </w:r>
          </w:p>
        </w:tc>
        <w:tc>
          <w:tcPr>
            <w:tcW w:type="dxa" w:w="4480"/>
            <w:tcMar>
              <w:top w:type="dxa" w:w="80"/>
              <w:left w:type="dxa" w:w="100"/>
              <w:bottom w:type="dxa" w:w="80"/>
              <w:right w:type="dxa" w:w="100"/>
            </w:tcMar>
            <w:vAlign w:val="center"/>
          </w:tcPr>
          <w:p>
            <w:r>
              <w:rPr>
                <w:b w:val="false"/>
                <w:bCs w:val="false"/>
                <w:color w:val="000000"/>
                <w:sz w:val="20"/>
                <w:szCs w:val="20"/>
              </w:rPr>
              <w:t xml:space="preserve">Pengecam unik rekod peruntukan OE</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tahunKewangan</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Number</w:t>
            </w:r>
          </w:p>
        </w:tc>
        <w:tc>
          <w:tcPr>
            <w:tcW w:type="dxa" w:w="4480"/>
            <w:shd w:fill="F2F2F2" w:val="clear"/>
            <w:tcMar>
              <w:top w:type="dxa" w:w="80"/>
              <w:left w:type="dxa" w:w="100"/>
              <w:bottom w:type="dxa" w:w="80"/>
              <w:right w:type="dxa" w:w="100"/>
            </w:tcMar>
            <w:vAlign w:val="center"/>
          </w:tcPr>
          <w:p>
            <w:r>
              <w:rPr>
                <w:b w:val="false"/>
                <w:bCs w:val="false"/>
                <w:color w:val="000000"/>
                <w:sz w:val="20"/>
                <w:szCs w:val="20"/>
              </w:rPr>
              <w:t xml:space="preserve">Tahun kewangan berkaitan (contoh: 2026)</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bahagian</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4480"/>
            <w:tcMar>
              <w:top w:type="dxa" w:w="80"/>
              <w:left w:type="dxa" w:w="100"/>
              <w:bottom w:type="dxa" w:w="80"/>
              <w:right w:type="dxa" w:w="100"/>
            </w:tcMar>
            <w:vAlign w:val="center"/>
          </w:tcPr>
          <w:p>
            <w:r>
              <w:rPr>
                <w:b w:val="false"/>
                <w:bCs w:val="false"/>
                <w:color w:val="000000"/>
                <w:sz w:val="20"/>
                <w:szCs w:val="20"/>
              </w:rPr>
              <w:t xml:space="preserve">Bahagian/PTJ KPKT yang menerima peruntukan</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objekAm</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4480"/>
            <w:shd w:fill="F2F2F2" w:val="clear"/>
            <w:tcMar>
              <w:top w:type="dxa" w:w="80"/>
              <w:left w:type="dxa" w:w="100"/>
              <w:bottom w:type="dxa" w:w="80"/>
              <w:right w:type="dxa" w:w="100"/>
            </w:tcMar>
            <w:vAlign w:val="center"/>
          </w:tcPr>
          <w:p>
            <w:r>
              <w:rPr>
                <w:b w:val="false"/>
                <w:bCs w:val="false"/>
                <w:color w:val="000000"/>
                <w:sz w:val="20"/>
                <w:szCs w:val="20"/>
              </w:rPr>
              <w:t xml:space="preserve">Kategori objek am mengikut iGFMAS (Emolumen, Perkhidmatan &amp; Bekalan, Aset, Bantuan &amp; Kebajikan, dll.)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kodVot / kodAktiviti</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4480"/>
            <w:tcMar>
              <w:top w:type="dxa" w:w="80"/>
              <w:left w:type="dxa" w:w="100"/>
              <w:bottom w:type="dxa" w:w="80"/>
              <w:right w:type="dxa" w:w="100"/>
            </w:tcMar>
            <w:vAlign w:val="center"/>
          </w:tcPr>
          <w:p>
            <w:r>
              <w:rPr>
                <w:b w:val="false"/>
                <w:bCs w:val="false"/>
                <w:color w:val="000000"/>
                <w:sz w:val="20"/>
                <w:szCs w:val="20"/>
              </w:rPr>
              <w:t xml:space="preserve">Kod rujukan vot/aktiviti bagi tujuan penyelarasan dengan iGFMAS</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silingPeruntukan</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Number</w:t>
            </w:r>
          </w:p>
        </w:tc>
        <w:tc>
          <w:tcPr>
            <w:tcW w:type="dxa" w:w="4480"/>
            <w:shd w:fill="F2F2F2" w:val="clear"/>
            <w:tcMar>
              <w:top w:type="dxa" w:w="80"/>
              <w:left w:type="dxa" w:w="100"/>
              <w:bottom w:type="dxa" w:w="80"/>
              <w:right w:type="dxa" w:w="100"/>
            </w:tcMar>
            <w:vAlign w:val="center"/>
          </w:tcPr>
          <w:p>
            <w:r>
              <w:rPr>
                <w:b w:val="false"/>
                <w:bCs w:val="false"/>
                <w:color w:val="000000"/>
                <w:sz w:val="20"/>
                <w:szCs w:val="20"/>
              </w:rPr>
              <w:t xml:space="preserve">Jumlah siling peruntukan OE diluluskan MOF (RM)</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nomborWaran</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4480"/>
            <w:tcMar>
              <w:top w:type="dxa" w:w="80"/>
              <w:left w:type="dxa" w:w="100"/>
              <w:bottom w:type="dxa" w:w="80"/>
              <w:right w:type="dxa" w:w="100"/>
            </w:tcMar>
            <w:vAlign w:val="center"/>
          </w:tcPr>
          <w:p>
            <w:r>
              <w:rPr>
                <w:b w:val="false"/>
                <w:bCs w:val="false"/>
                <w:color w:val="000000"/>
                <w:sz w:val="20"/>
                <w:szCs w:val="20"/>
              </w:rPr>
              <w:t xml:space="preserve">Nombor rujukan waran peruntukan</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tarikhWaran</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Date</w:t>
            </w:r>
          </w:p>
        </w:tc>
        <w:tc>
          <w:tcPr>
            <w:tcW w:type="dxa" w:w="4480"/>
            <w:shd w:fill="F2F2F2" w:val="clear"/>
            <w:tcMar>
              <w:top w:type="dxa" w:w="80"/>
              <w:left w:type="dxa" w:w="100"/>
              <w:bottom w:type="dxa" w:w="80"/>
              <w:right w:type="dxa" w:w="100"/>
            </w:tcMar>
            <w:vAlign w:val="center"/>
          </w:tcPr>
          <w:p>
            <w:r>
              <w:rPr>
                <w:b w:val="false"/>
                <w:bCs w:val="false"/>
                <w:color w:val="000000"/>
                <w:sz w:val="20"/>
                <w:szCs w:val="20"/>
              </w:rPr>
              <w:t xml:space="preserve">Tarikh waran dikeluarkan oleh MOF</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jumlahDibelanjakan</w:t>
            </w:r>
          </w:p>
        </w:tc>
        <w:tc>
          <w:tcPr>
            <w:tcW w:type="dxa" w:w="2500"/>
            <w:tcMar>
              <w:top w:type="dxa" w:w="80"/>
              <w:left w:type="dxa" w:w="100"/>
              <w:bottom w:type="dxa" w:w="80"/>
              <w:right w:type="dxa" w:w="100"/>
            </w:tcMar>
            <w:vAlign w:val="center"/>
          </w:tcPr>
          <w:p>
            <w:r>
              <w:rPr>
                <w:b w:val="false"/>
                <w:bCs w:val="false"/>
                <w:color w:val="000000"/>
                <w:sz w:val="20"/>
                <w:szCs w:val="20"/>
              </w:rPr>
              <w:t xml:space="preserve">Number</w:t>
            </w:r>
          </w:p>
        </w:tc>
        <w:tc>
          <w:tcPr>
            <w:tcW w:type="dxa" w:w="4480"/>
            <w:tcMar>
              <w:top w:type="dxa" w:w="80"/>
              <w:left w:type="dxa" w:w="100"/>
              <w:bottom w:type="dxa" w:w="80"/>
              <w:right w:type="dxa" w:w="100"/>
            </w:tcMar>
            <w:vAlign w:val="center"/>
          </w:tcPr>
          <w:p>
            <w:r>
              <w:rPr>
                <w:b w:val="false"/>
                <w:bCs w:val="false"/>
                <w:color w:val="000000"/>
                <w:sz w:val="20"/>
                <w:szCs w:val="20"/>
              </w:rPr>
              <w:t xml:space="preserve">Jumlah perbelanjaan sebenar setakat tarikh semasa (RM)</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jumlahKomited</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Number</w:t>
            </w:r>
          </w:p>
        </w:tc>
        <w:tc>
          <w:tcPr>
            <w:tcW w:type="dxa" w:w="4480"/>
            <w:shd w:fill="F2F2F2" w:val="clear"/>
            <w:tcMar>
              <w:top w:type="dxa" w:w="80"/>
              <w:left w:type="dxa" w:w="100"/>
              <w:bottom w:type="dxa" w:w="80"/>
              <w:right w:type="dxa" w:w="100"/>
            </w:tcMar>
            <w:vAlign w:val="center"/>
          </w:tcPr>
          <w:p>
            <w:r>
              <w:rPr>
                <w:b w:val="false"/>
                <w:bCs w:val="false"/>
                <w:color w:val="000000"/>
                <w:sz w:val="20"/>
                <w:szCs w:val="20"/>
              </w:rPr>
              <w:t xml:space="preserve">Jumlah tempahan/tanggungan (commitment) yang belum dibayar (RM)</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bakiPeruntukan</w:t>
            </w:r>
          </w:p>
        </w:tc>
        <w:tc>
          <w:tcPr>
            <w:tcW w:type="dxa" w:w="2500"/>
            <w:tcMar>
              <w:top w:type="dxa" w:w="80"/>
              <w:left w:type="dxa" w:w="100"/>
              <w:bottom w:type="dxa" w:w="80"/>
              <w:right w:type="dxa" w:w="100"/>
            </w:tcMar>
            <w:vAlign w:val="center"/>
          </w:tcPr>
          <w:p>
            <w:r>
              <w:rPr>
                <w:b w:val="false"/>
                <w:bCs w:val="false"/>
                <w:color w:val="000000"/>
                <w:sz w:val="20"/>
                <w:szCs w:val="20"/>
              </w:rPr>
              <w:t xml:space="preserve">Number</w:t>
            </w:r>
          </w:p>
        </w:tc>
        <w:tc>
          <w:tcPr>
            <w:tcW w:type="dxa" w:w="4480"/>
            <w:tcMar>
              <w:top w:type="dxa" w:w="80"/>
              <w:left w:type="dxa" w:w="100"/>
              <w:bottom w:type="dxa" w:w="80"/>
              <w:right w:type="dxa" w:w="100"/>
            </w:tcMar>
            <w:vAlign w:val="center"/>
          </w:tcPr>
          <w:p>
            <w:r>
              <w:rPr>
                <w:b w:val="false"/>
                <w:bCs w:val="false"/>
                <w:color w:val="000000"/>
                <w:sz w:val="20"/>
                <w:szCs w:val="20"/>
              </w:rPr>
              <w:t xml:space="preserve">Baki peruntukan (dikira: siling − dibelanjakan − komited)</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statusPenggunaan</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Enum</w:t>
            </w:r>
          </w:p>
        </w:tc>
        <w:tc>
          <w:tcPr>
            <w:tcW w:type="dxa" w:w="4480"/>
            <w:shd w:fill="F2F2F2" w:val="clear"/>
            <w:tcMar>
              <w:top w:type="dxa" w:w="80"/>
              <w:left w:type="dxa" w:w="100"/>
              <w:bottom w:type="dxa" w:w="80"/>
              <w:right w:type="dxa" w:w="100"/>
            </w:tcMar>
            <w:vAlign w:val="center"/>
          </w:tcPr>
          <w:p>
            <w:r>
              <w:rPr>
                <w:b w:val="false"/>
                <w:bCs w:val="false"/>
                <w:color w:val="000000"/>
                <w:sz w:val="20"/>
                <w:szCs w:val="20"/>
              </w:rPr>
              <w:t xml:space="preserve">Hijau | Kuning | Merah (berdasarkan peratus penggunaan)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programBerkaitan</w:t>
            </w:r>
          </w:p>
        </w:tc>
        <w:tc>
          <w:tcPr>
            <w:tcW w:type="dxa" w:w="2500"/>
            <w:tcMar>
              <w:top w:type="dxa" w:w="80"/>
              <w:left w:type="dxa" w:w="100"/>
              <w:bottom w:type="dxa" w:w="80"/>
              <w:right w:type="dxa" w:w="100"/>
            </w:tcMar>
            <w:vAlign w:val="center"/>
          </w:tcPr>
          <w:p>
            <w:r>
              <w:rPr>
                <w:b w:val="false"/>
                <w:bCs w:val="false"/>
                <w:color w:val="000000"/>
                <w:sz w:val="20"/>
                <w:szCs w:val="20"/>
              </w:rPr>
              <w:t xml:space="preserve">Reference (id)</w:t>
            </w:r>
          </w:p>
        </w:tc>
        <w:tc>
          <w:tcPr>
            <w:tcW w:type="dxa" w:w="4480"/>
            <w:tcMar>
              <w:top w:type="dxa" w:w="80"/>
              <w:left w:type="dxa" w:w="100"/>
              <w:bottom w:type="dxa" w:w="80"/>
              <w:right w:type="dxa" w:w="100"/>
            </w:tcMar>
            <w:vAlign w:val="center"/>
          </w:tcPr>
          <w:p>
            <w:r>
              <w:rPr>
                <w:b w:val="false"/>
                <w:bCs w:val="false"/>
                <w:color w:val="000000"/>
                <w:sz w:val="20"/>
                <w:szCs w:val="20"/>
              </w:rPr>
              <w:t xml:space="preserve">Rujukan kepada rekod Program yang menggunakan peruntukan ini</w:t>
            </w:r>
          </w:p>
        </w:tc>
      </w:tr>
    </w:tbl>
    <w:p>
      <w:pPr>
        <w:pStyle w:val="Heading2"/>
        <w:spacing w:after="140" w:before="260"/>
      </w:pPr>
      <w:r>
        <w:rPr>
          <w:b/>
          <w:bCs/>
          <w:color w:val="2E5395"/>
          <w:sz w:val="25"/>
          <w:szCs w:val="25"/>
        </w:rPr>
        <w:t xml:space="preserve">5.4 Modul 4: Pelaksanaan &amp; Pemantauan (Implementation &amp; Monitoring)</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000"/>
        <w:gridCol w:w="7480"/>
        <w:gridCol w:w="700"/>
      </w:tblGrid>
      <w:tr>
        <w:tc>
          <w:tcPr>
            <w:tcW w:type="dxa" w:w="10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480"/>
            <w:shd w:fill="1F3864" w:val="clear"/>
            <w:tcMar>
              <w:top w:type="dxa" w:w="80"/>
              <w:left w:type="dxa" w:w="100"/>
              <w:bottom w:type="dxa" w:w="80"/>
              <w:right w:type="dxa" w:w="100"/>
            </w:tcMar>
            <w:vAlign w:val="center"/>
          </w:tcPr>
          <w:p>
            <w:r>
              <w:rPr>
                <w:b/>
                <w:bCs/>
                <w:color w:val="FFFFFF"/>
                <w:sz w:val="20"/>
                <w:szCs w:val="20"/>
              </w:rPr>
              <w:t xml:space="preserve">Keperluan</w:t>
            </w:r>
          </w:p>
        </w:tc>
        <w:tc>
          <w:tcPr>
            <w:tcW w:type="dxa" w:w="700"/>
            <w:shd w:fill="1F3864" w:val="clear"/>
            <w:tcMar>
              <w:top w:type="dxa" w:w="80"/>
              <w:left w:type="dxa" w:w="100"/>
              <w:bottom w:type="dxa" w:w="80"/>
              <w:right w:type="dxa" w:w="100"/>
            </w:tcMar>
            <w:vAlign w:val="center"/>
          </w:tcPr>
          <w:p>
            <w:r>
              <w:rPr>
                <w:b/>
                <w:bCs/>
                <w:color w:val="FFFFFF"/>
                <w:sz w:val="20"/>
                <w:szCs w:val="20"/>
              </w:rPr>
              <w:t xml:space="preserve">Prioriti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FR-4.1</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membenarkan pegawai lapangan mengemas kini peratus kemajuan (% completion) program secara berkala</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FR-4.2</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membenarkan muat naik bukti pelaksanaan (gambar, laporan aktiviti, minit mesyuarat)</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FR-4.3</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memaparkan carta Gantt/garis masa (timeline) berbanding jadual pelaksanaan sebenar</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FR-4.4</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menyediakan modul pengurusan isu/risiko (issue log) berkaitan pelaksanaan program</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FR-4.5</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memaparkan penunjuk status (traffic light indicator: Hijau/Kuning/Merah) bagi setiap program berdasarkan pencapaian jadual dan bajet</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FR-4.6</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menghantar notifikasi/peringatan automatik bagi program yang tergendala atau lewat dari jadual</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Sederhana</w:t>
            </w:r>
          </w:p>
        </w:tc>
      </w:tr>
    </w:tbl>
    <w:p>
      <w:pPr>
        <w:pStyle w:val="Heading2"/>
        <w:spacing w:after="140" w:before="260"/>
      </w:pPr>
      <w:r>
        <w:rPr>
          <w:b/>
          <w:bCs/>
          <w:color w:val="2E5395"/>
          <w:sz w:val="25"/>
          <w:szCs w:val="25"/>
        </w:rPr>
        <w:t xml:space="preserve">5.5 Modul 5: Penilaian Program (Program Evaluation)</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000"/>
        <w:gridCol w:w="7480"/>
        <w:gridCol w:w="700"/>
      </w:tblGrid>
      <w:tr>
        <w:tc>
          <w:tcPr>
            <w:tcW w:type="dxa" w:w="10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480"/>
            <w:shd w:fill="1F3864" w:val="clear"/>
            <w:tcMar>
              <w:top w:type="dxa" w:w="80"/>
              <w:left w:type="dxa" w:w="100"/>
              <w:bottom w:type="dxa" w:w="80"/>
              <w:right w:type="dxa" w:w="100"/>
            </w:tcMar>
            <w:vAlign w:val="center"/>
          </w:tcPr>
          <w:p>
            <w:r>
              <w:rPr>
                <w:b/>
                <w:bCs/>
                <w:color w:val="FFFFFF"/>
                <w:sz w:val="20"/>
                <w:szCs w:val="20"/>
              </w:rPr>
              <w:t xml:space="preserve">Keperluan</w:t>
            </w:r>
          </w:p>
        </w:tc>
        <w:tc>
          <w:tcPr>
            <w:tcW w:type="dxa" w:w="700"/>
            <w:shd w:fill="1F3864" w:val="clear"/>
            <w:tcMar>
              <w:top w:type="dxa" w:w="80"/>
              <w:left w:type="dxa" w:w="100"/>
              <w:bottom w:type="dxa" w:w="80"/>
              <w:right w:type="dxa" w:w="100"/>
            </w:tcMar>
            <w:vAlign w:val="center"/>
          </w:tcPr>
          <w:p>
            <w:r>
              <w:rPr>
                <w:b/>
                <w:bCs/>
                <w:color w:val="FFFFFF"/>
                <w:sz w:val="20"/>
                <w:szCs w:val="20"/>
              </w:rPr>
              <w:t xml:space="preserve">Prioriti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FR-5.1</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membenarkan penilai merekod pencapaian sebenar berbanding KPI/sasaran yang ditetapkan semasa perancangan</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FR-5.2</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menyokong penilaian pelbagai dimensi: Output (hasil segera), Outcome (kesan jangka sederhana), Impact (impak jangka panjang)</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FR-5.3</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membenarkan input maklum balas/kepuasan komuniti (survey ringkas atau skor kepuasan)</w:t>
            </w:r>
          </w:p>
        </w:tc>
        <w:tc>
          <w:tcPr>
            <w:tcW w:type="dxa" w:w="700"/>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FR-5.4</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menjana skor keseluruhan/rating penilaian program (contoh: skala 1-5 atau gred A-E)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FR-5.5</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membenarkan rekod pengajaran (lessons learned) dan cadangan penambahbaikan untuk program akan datang</w:t>
            </w:r>
          </w:p>
        </w:tc>
        <w:tc>
          <w:tcPr>
            <w:tcW w:type="dxa" w:w="700"/>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FR-5.6</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memaparkan perbandingan prestasi antara program dalam kategori yang sama (benchmarking)</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Rendah</w:t>
            </w:r>
          </w:p>
        </w:tc>
      </w:tr>
    </w:tbl>
    <w:p>
      <w:pPr>
        <w:pStyle w:val="Heading2"/>
        <w:spacing w:after="140" w:before="260"/>
      </w:pPr>
      <w:r>
        <w:rPr>
          <w:b/>
          <w:bCs/>
          <w:color w:val="2E5395"/>
          <w:sz w:val="25"/>
          <w:szCs w:val="25"/>
        </w:rPr>
        <w:t xml:space="preserve">5.6 Modul 6: Pelaporan &amp; Analitik (Reporting &amp; Analytics)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000"/>
        <w:gridCol w:w="7480"/>
        <w:gridCol w:w="700"/>
      </w:tblGrid>
      <w:tr>
        <w:tc>
          <w:tcPr>
            <w:tcW w:type="dxa" w:w="10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480"/>
            <w:shd w:fill="1F3864" w:val="clear"/>
            <w:tcMar>
              <w:top w:type="dxa" w:w="80"/>
              <w:left w:type="dxa" w:w="100"/>
              <w:bottom w:type="dxa" w:w="80"/>
              <w:right w:type="dxa" w:w="100"/>
            </w:tcMar>
            <w:vAlign w:val="center"/>
          </w:tcPr>
          <w:p>
            <w:r>
              <w:rPr>
                <w:b/>
                <w:bCs/>
                <w:color w:val="FFFFFF"/>
                <w:sz w:val="20"/>
                <w:szCs w:val="20"/>
              </w:rPr>
              <w:t xml:space="preserve">Keperluan</w:t>
            </w:r>
          </w:p>
        </w:tc>
        <w:tc>
          <w:tcPr>
            <w:tcW w:type="dxa" w:w="700"/>
            <w:shd w:fill="1F3864" w:val="clear"/>
            <w:tcMar>
              <w:top w:type="dxa" w:w="80"/>
              <w:left w:type="dxa" w:w="100"/>
              <w:bottom w:type="dxa" w:w="80"/>
              <w:right w:type="dxa" w:w="100"/>
            </w:tcMar>
            <w:vAlign w:val="center"/>
          </w:tcPr>
          <w:p>
            <w:r>
              <w:rPr>
                <w:b/>
                <w:bCs/>
                <w:color w:val="FFFFFF"/>
                <w:sz w:val="20"/>
                <w:szCs w:val="20"/>
              </w:rPr>
              <w:t xml:space="preserve">Prioriti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FR-6.1</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menjana laporan automatik (bulanan/suku tahunan/tahunan) mengikut format piawai KPKT</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FR-6.2</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membenarkan penjanaan laporan tersuai (custom report builder) berdasarkan penapis yang dipilih</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FR-6.3</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membenarkan eksport laporan dalam format PDF dan Excel</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FR-6.4</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memaparkan carta perbandingan trend prestasi program merentasi tahun</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Sederhana</w:t>
            </w:r>
          </w:p>
        </w:tc>
      </w:tr>
    </w:tbl>
    <w:p>
      <w:pPr>
        <w:pStyle w:val="Heading2"/>
        <w:spacing w:after="140" w:before="260"/>
      </w:pPr>
      <w:r>
        <w:rPr>
          <w:b/>
          <w:bCs/>
          <w:color w:val="2E5395"/>
          <w:sz w:val="25"/>
          <w:szCs w:val="25"/>
        </w:rPr>
        <w:t xml:space="preserve">5.7 Modul 7: Pentadbiran Pengguna &amp; Peranan (User &amp; Role Administration)</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000"/>
        <w:gridCol w:w="7480"/>
        <w:gridCol w:w="700"/>
      </w:tblGrid>
      <w:tr>
        <w:tc>
          <w:tcPr>
            <w:tcW w:type="dxa" w:w="1000"/>
            <w:shd w:fill="1F3864" w:val="clear"/>
            <w:tcMar>
              <w:top w:type="dxa" w:w="80"/>
              <w:left w:type="dxa" w:w="100"/>
              <w:bottom w:type="dxa" w:w="80"/>
              <w:right w:type="dxa" w:w="100"/>
            </w:tcMar>
            <w:vAlign w:val="center"/>
          </w:tcPr>
          <w:p>
            <w:r>
              <w:rPr>
                <w:b/>
                <w:bCs/>
                <w:color w:val="FFFFFF"/>
                <w:sz w:val="20"/>
                <w:szCs w:val="20"/>
              </w:rPr>
              <w:t xml:space="preserve">ID</w:t>
            </w:r>
          </w:p>
        </w:tc>
        <w:tc>
          <w:tcPr>
            <w:tcW w:type="dxa" w:w="7480"/>
            <w:shd w:fill="1F3864" w:val="clear"/>
            <w:tcMar>
              <w:top w:type="dxa" w:w="80"/>
              <w:left w:type="dxa" w:w="100"/>
              <w:bottom w:type="dxa" w:w="80"/>
              <w:right w:type="dxa" w:w="100"/>
            </w:tcMar>
            <w:vAlign w:val="center"/>
          </w:tcPr>
          <w:p>
            <w:r>
              <w:rPr>
                <w:b/>
                <w:bCs/>
                <w:color w:val="FFFFFF"/>
                <w:sz w:val="20"/>
                <w:szCs w:val="20"/>
              </w:rPr>
              <w:t xml:space="preserve">Keperluan</w:t>
            </w:r>
          </w:p>
        </w:tc>
        <w:tc>
          <w:tcPr>
            <w:tcW w:type="dxa" w:w="700"/>
            <w:shd w:fill="1F3864" w:val="clear"/>
            <w:tcMar>
              <w:top w:type="dxa" w:w="80"/>
              <w:left w:type="dxa" w:w="100"/>
              <w:bottom w:type="dxa" w:w="80"/>
              <w:right w:type="dxa" w:w="100"/>
            </w:tcMar>
            <w:vAlign w:val="center"/>
          </w:tcPr>
          <w:p>
            <w:r>
              <w:rPr>
                <w:b/>
                <w:bCs/>
                <w:color w:val="FFFFFF"/>
                <w:sz w:val="20"/>
                <w:szCs w:val="20"/>
              </w:rPr>
              <w:t xml:space="preserve">Prioriti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FR-7.1</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membenarkan pentadbir mencipta, mengemaskini dan menyahaktifkan akaun pengguna</w:t>
            </w:r>
          </w:p>
        </w:tc>
        <w:tc>
          <w:tcPr>
            <w:tcW w:type="dxa" w:w="7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shd w:fill="F2F2F2" w:val="clear"/>
            <w:tcMar>
              <w:top w:type="dxa" w:w="80"/>
              <w:left w:type="dxa" w:w="100"/>
              <w:bottom w:type="dxa" w:w="80"/>
              <w:right w:type="dxa" w:w="100"/>
            </w:tcMar>
            <w:vAlign w:val="center"/>
          </w:tcPr>
          <w:p>
            <w:r>
              <w:rPr>
                <w:b w:val="false"/>
                <w:bCs w:val="false"/>
                <w:color w:val="000000"/>
                <w:sz w:val="20"/>
                <w:szCs w:val="20"/>
              </w:rPr>
              <w:t xml:space="preserve">FR-7.2</w:t>
            </w:r>
          </w:p>
        </w:tc>
        <w:tc>
          <w:tcPr>
            <w:tcW w:type="dxa" w:w="7480"/>
            <w:shd w:fill="F2F2F2" w:val="clear"/>
            <w:tcMar>
              <w:top w:type="dxa" w:w="80"/>
              <w:left w:type="dxa" w:w="100"/>
              <w:bottom w:type="dxa" w:w="80"/>
              <w:right w:type="dxa" w:w="100"/>
            </w:tcMar>
            <w:vAlign w:val="center"/>
          </w:tcPr>
          <w:p>
            <w:r>
              <w:rPr>
                <w:b w:val="false"/>
                <w:bCs w:val="false"/>
                <w:color w:val="000000"/>
                <w:sz w:val="20"/>
                <w:szCs w:val="20"/>
              </w:rPr>
              <w:t xml:space="preserve">Sistem mesti menyokong kawalan capaian berasaskan peranan (RBAC) mengikut jadual peranan di Bahagian 3</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000"/>
            <w:tcMar>
              <w:top w:type="dxa" w:w="80"/>
              <w:left w:type="dxa" w:w="100"/>
              <w:bottom w:type="dxa" w:w="80"/>
              <w:right w:type="dxa" w:w="100"/>
            </w:tcMar>
            <w:vAlign w:val="center"/>
          </w:tcPr>
          <w:p>
            <w:r>
              <w:rPr>
                <w:b w:val="false"/>
                <w:bCs w:val="false"/>
                <w:color w:val="000000"/>
                <w:sz w:val="20"/>
                <w:szCs w:val="20"/>
              </w:rPr>
              <w:t xml:space="preserve">FR-7.3</w:t>
            </w:r>
          </w:p>
        </w:tc>
        <w:tc>
          <w:tcPr>
            <w:tcW w:type="dxa" w:w="7480"/>
            <w:tcMar>
              <w:top w:type="dxa" w:w="80"/>
              <w:left w:type="dxa" w:w="100"/>
              <w:bottom w:type="dxa" w:w="80"/>
              <w:right w:type="dxa" w:w="100"/>
            </w:tcMar>
            <w:vAlign w:val="center"/>
          </w:tcPr>
          <w:p>
            <w:r>
              <w:rPr>
                <w:b w:val="false"/>
                <w:bCs w:val="false"/>
                <w:color w:val="000000"/>
                <w:sz w:val="20"/>
                <w:szCs w:val="20"/>
              </w:rPr>
              <w:t xml:space="preserve">Sistem mesti merekod log aktiviti pengguna (audit log) bagi tujuan integriti data</w:t>
            </w:r>
          </w:p>
        </w:tc>
        <w:tc>
          <w:tcPr>
            <w:tcW w:type="dxa" w:w="700"/>
            <w:tcMar>
              <w:top w:type="dxa" w:w="80"/>
              <w:left w:type="dxa" w:w="100"/>
              <w:bottom w:type="dxa" w:w="80"/>
              <w:right w:type="dxa" w:w="100"/>
            </w:tcMar>
            <w:vAlign w:val="center"/>
          </w:tcPr>
          <w:p>
            <w:r>
              <w:rPr>
                <w:b w:val="false"/>
                <w:bCs w:val="false"/>
                <w:color w:val="000000"/>
                <w:sz w:val="20"/>
                <w:szCs w:val="20"/>
              </w:rPr>
              <w:t xml:space="preserve">Sederhana</w:t>
            </w:r>
          </w:p>
        </w:tc>
      </w:tr>
    </w:tbl>
    <w:p>
      <w:pPr>
        <w:pStyle w:val="Heading1"/>
        <w:pBdr>
          <w:bottom w:val="single" w:color="1F3864" w:sz="8" w:space="4"/>
        </w:pBdr>
        <w:spacing w:after="180" w:before="360"/>
      </w:pPr>
      <w:r>
        <w:rPr>
          <w:b/>
          <w:bCs/>
          <w:color w:val="1F3864"/>
          <w:sz w:val="30"/>
          <w:szCs w:val="30"/>
        </w:rPr>
        <w:t xml:space="preserve">6. KEPERLUAN BUKAN FUNGSIAN (NON-FUNCTIONAL REQUIREMENTS)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200"/>
        <w:gridCol w:w="6980"/>
      </w:tblGrid>
      <w:tr>
        <w:tc>
          <w:tcPr>
            <w:tcW w:type="dxa" w:w="2200"/>
            <w:shd w:fill="1F3864" w:val="clear"/>
            <w:tcMar>
              <w:top w:type="dxa" w:w="80"/>
              <w:left w:type="dxa" w:w="100"/>
              <w:bottom w:type="dxa" w:w="80"/>
              <w:right w:type="dxa" w:w="100"/>
            </w:tcMar>
            <w:vAlign w:val="center"/>
          </w:tcPr>
          <w:p>
            <w:r>
              <w:rPr>
                <w:b/>
                <w:bCs/>
                <w:color w:val="FFFFFF"/>
                <w:sz w:val="20"/>
                <w:szCs w:val="20"/>
              </w:rPr>
              <w:t xml:space="preserve">Kategori</w:t>
            </w:r>
          </w:p>
        </w:tc>
        <w:tc>
          <w:tcPr>
            <w:tcW w:type="dxa" w:w="6980"/>
            <w:shd w:fill="1F3864" w:val="clear"/>
            <w:tcMar>
              <w:top w:type="dxa" w:w="80"/>
              <w:left w:type="dxa" w:w="100"/>
              <w:bottom w:type="dxa" w:w="80"/>
              <w:right w:type="dxa" w:w="100"/>
            </w:tcMar>
            <w:vAlign w:val="center"/>
          </w:tcPr>
          <w:p>
            <w:r>
              <w:rPr>
                <w:b/>
                <w:bCs/>
                <w:color w:val="FFFFFF"/>
                <w:sz w:val="20"/>
                <w:szCs w:val="20"/>
              </w:rPr>
              <w:t xml:space="preserve">Keperluan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Kebolehgunaan (Usability)</w:t>
            </w:r>
          </w:p>
        </w:tc>
        <w:tc>
          <w:tcPr>
            <w:tcW w:type="dxa" w:w="6980"/>
            <w:tcMar>
              <w:top w:type="dxa" w:w="80"/>
              <w:left w:type="dxa" w:w="100"/>
              <w:bottom w:type="dxa" w:w="80"/>
              <w:right w:type="dxa" w:w="100"/>
            </w:tcMar>
            <w:vAlign w:val="center"/>
          </w:tcPr>
          <w:p>
            <w:r>
              <w:rPr>
                <w:b w:val="false"/>
                <w:bCs w:val="false"/>
                <w:color w:val="000000"/>
                <w:sz w:val="20"/>
                <w:szCs w:val="20"/>
              </w:rPr>
              <w:t xml:space="preserve">Antara muka mesti responsif (responsive design), mesra pengguna, dan boleh diakses melalui pelayar web utama (Chrome, Edge, Firefox). Bahasa antara muka utama: Bahasa Malaysia, dengan pilihan Bahasa Inggeris (opsyenal).</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Prestasi (Performance)</w:t>
            </w:r>
          </w:p>
        </w:tc>
        <w:tc>
          <w:tcPr>
            <w:tcW w:type="dxa" w:w="6980"/>
            <w:shd w:fill="F2F2F2" w:val="clear"/>
            <w:tcMar>
              <w:top w:type="dxa" w:w="80"/>
              <w:left w:type="dxa" w:w="100"/>
              <w:bottom w:type="dxa" w:w="80"/>
              <w:right w:type="dxa" w:w="100"/>
            </w:tcMar>
            <w:vAlign w:val="center"/>
          </w:tcPr>
          <w:p>
            <w:r>
              <w:rPr>
                <w:b w:val="false"/>
                <w:bCs w:val="false"/>
                <w:color w:val="000000"/>
                <w:sz w:val="20"/>
                <w:szCs w:val="20"/>
              </w:rPr>
              <w:t xml:space="preserve">Masa muat papan pemuka tidak melebihi 3 saat bagi set data dummy sehingga 500 rekod program.</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Kebolehskalaan (Scalability)</w:t>
            </w:r>
          </w:p>
        </w:tc>
        <w:tc>
          <w:tcPr>
            <w:tcW w:type="dxa" w:w="6980"/>
            <w:tcMar>
              <w:top w:type="dxa" w:w="80"/>
              <w:left w:type="dxa" w:w="100"/>
              <w:bottom w:type="dxa" w:w="80"/>
              <w:right w:type="dxa" w:w="100"/>
            </w:tcMar>
            <w:vAlign w:val="center"/>
          </w:tcPr>
          <w:p>
            <w:r>
              <w:rPr>
                <w:b w:val="false"/>
                <w:bCs w:val="false"/>
                <w:color w:val="000000"/>
                <w:sz w:val="20"/>
                <w:szCs w:val="20"/>
              </w:rPr>
              <w:t xml:space="preserve">Seni bina sistem mesti membenarkan penggantian pangkalan data dummy kepada pangkalan data sebenar (contoh: PostgreSQL/MySQL) tanpa perubahan besar pada logik frontend.</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Keselamatan (Security)</w:t>
            </w:r>
          </w:p>
        </w:tc>
        <w:tc>
          <w:tcPr>
            <w:tcW w:type="dxa" w:w="6980"/>
            <w:shd w:fill="F2F2F2" w:val="clear"/>
            <w:tcMar>
              <w:top w:type="dxa" w:w="80"/>
              <w:left w:type="dxa" w:w="100"/>
              <w:bottom w:type="dxa" w:w="80"/>
              <w:right w:type="dxa" w:w="100"/>
            </w:tcMar>
            <w:vAlign w:val="center"/>
          </w:tcPr>
          <w:p>
            <w:r>
              <w:rPr>
                <w:b w:val="false"/>
                <w:bCs w:val="false"/>
                <w:color w:val="000000"/>
                <w:sz w:val="20"/>
                <w:szCs w:val="20"/>
              </w:rPr>
              <w:t xml:space="preserve">Fasa MVP menggunakan pengesahan mudah (mock authentication); reka bentuk mesti bersedia untuk integrasi SSO/MyDigital ID pada fasa akan datang.</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Kebolehselenggaraan (Maintainability)</w:t>
            </w:r>
          </w:p>
        </w:tc>
        <w:tc>
          <w:tcPr>
            <w:tcW w:type="dxa" w:w="6980"/>
            <w:tcMar>
              <w:top w:type="dxa" w:w="80"/>
              <w:left w:type="dxa" w:w="100"/>
              <w:bottom w:type="dxa" w:w="80"/>
              <w:right w:type="dxa" w:w="100"/>
            </w:tcMar>
            <w:vAlign w:val="center"/>
          </w:tcPr>
          <w:p>
            <w:r>
              <w:rPr>
                <w:b w:val="false"/>
                <w:bCs w:val="false"/>
                <w:color w:val="000000"/>
                <w:sz w:val="20"/>
                <w:szCs w:val="20"/>
              </w:rPr>
              <w:t xml:space="preserve">Kod sumber mesti mengikut struktur modular (component-based architecture) React.js, dengan dokumentasi kod yang jelas.</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Kebolehcapaian (Accessibility)</w:t>
            </w:r>
          </w:p>
        </w:tc>
        <w:tc>
          <w:tcPr>
            <w:tcW w:type="dxa" w:w="6980"/>
            <w:shd w:fill="F2F2F2" w:val="clear"/>
            <w:tcMar>
              <w:top w:type="dxa" w:w="80"/>
              <w:left w:type="dxa" w:w="100"/>
              <w:bottom w:type="dxa" w:w="80"/>
              <w:right w:type="dxa" w:w="100"/>
            </w:tcMar>
            <w:vAlign w:val="center"/>
          </w:tcPr>
          <w:p>
            <w:r>
              <w:rPr>
                <w:b w:val="false"/>
                <w:bCs w:val="false"/>
                <w:color w:val="000000"/>
                <w:sz w:val="20"/>
                <w:szCs w:val="20"/>
              </w:rPr>
              <w:t xml:space="preserve">Antara muka digalakkan mematuhi garis panduan asas WCAG 2.1 (kontras warna, label input, navigasi papan kekunci).</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Keserasian Pelayar (Compatibility)</w:t>
            </w:r>
          </w:p>
        </w:tc>
        <w:tc>
          <w:tcPr>
            <w:tcW w:type="dxa" w:w="6980"/>
            <w:tcMar>
              <w:top w:type="dxa" w:w="80"/>
              <w:left w:type="dxa" w:w="100"/>
              <w:bottom w:type="dxa" w:w="80"/>
              <w:right w:type="dxa" w:w="100"/>
            </w:tcMar>
            <w:vAlign w:val="center"/>
          </w:tcPr>
          <w:p>
            <w:r>
              <w:rPr>
                <w:b w:val="false"/>
                <w:bCs w:val="false"/>
                <w:color w:val="000000"/>
                <w:sz w:val="20"/>
                <w:szCs w:val="20"/>
              </w:rPr>
              <w:t xml:space="preserve">Sistem mesti berfungsi dengan baik pada resolusi skrin desktop dan tablet (minimum 1024px lebar).</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Ketersediaan Data (Data Availability)</w:t>
            </w:r>
          </w:p>
        </w:tc>
        <w:tc>
          <w:tcPr>
            <w:tcW w:type="dxa" w:w="6980"/>
            <w:shd w:fill="F2F2F2" w:val="clear"/>
            <w:tcMar>
              <w:top w:type="dxa" w:w="80"/>
              <w:left w:type="dxa" w:w="100"/>
              <w:bottom w:type="dxa" w:w="80"/>
              <w:right w:type="dxa" w:w="100"/>
            </w:tcMar>
            <w:vAlign w:val="center"/>
          </w:tcPr>
          <w:p>
            <w:r>
              <w:rPr>
                <w:b w:val="false"/>
                <w:bCs w:val="false"/>
                <w:color w:val="000000"/>
                <w:sz w:val="20"/>
                <w:szCs w:val="20"/>
              </w:rPr>
              <w:t xml:space="preserve">Data dummy mesti disimpan dalam format berstruktur (JSON/mock API menggunakan json-server atau setara) supaya mudah digantikan kelak.</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Pematuhan Kewangan (Financial Compliance)</w:t>
            </w:r>
          </w:p>
        </w:tc>
        <w:tc>
          <w:tcPr>
            <w:tcW w:type="dxa" w:w="6980"/>
            <w:tcMar>
              <w:top w:type="dxa" w:w="80"/>
              <w:left w:type="dxa" w:w="100"/>
              <w:bottom w:type="dxa" w:w="80"/>
              <w:right w:type="dxa" w:w="100"/>
            </w:tcMar>
            <w:vAlign w:val="center"/>
          </w:tcPr>
          <w:p>
            <w:r>
              <w:rPr>
                <w:b w:val="false"/>
                <w:bCs w:val="false"/>
                <w:color w:val="000000"/>
                <w:sz w:val="20"/>
                <w:szCs w:val="20"/>
              </w:rPr>
              <w:t xml:space="preserve">Struktur data dan pelaporan peruntukan OE mesti selaras dengan format Objek Am, kod vot/aktiviti dan keperluan pelaporan sebagaimana diamalkan dalam iGFMAS serta tertakluk kepada Surat Pekeliling Perbendaharaan (SPP) semasa.</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Ketepatan Masa Data Kewangan (Data Timeliness)</w:t>
            </w:r>
          </w:p>
        </w:tc>
        <w:tc>
          <w:tcPr>
            <w:tcW w:type="dxa" w:w="6980"/>
            <w:shd w:fill="F2F2F2" w:val="clear"/>
            <w:tcMar>
              <w:top w:type="dxa" w:w="80"/>
              <w:left w:type="dxa" w:w="100"/>
              <w:bottom w:type="dxa" w:w="80"/>
              <w:right w:type="dxa" w:w="100"/>
            </w:tcMar>
            <w:vAlign w:val="center"/>
          </w:tcPr>
          <w:p>
            <w:r>
              <w:rPr>
                <w:b w:val="false"/>
                <w:bCs w:val="false"/>
                <w:color w:val="000000"/>
                <w:sz w:val="20"/>
                <w:szCs w:val="20"/>
              </w:rPr>
              <w:t xml:space="preserve">Kemas kini rekod perbelanjaan/komitmen OE digalakkan dilakukan sekurang-kurangnya setiap bulan bagi memastikan penunjuk baki peruntukan kekal relevan.</w:t>
            </w:r>
          </w:p>
        </w:tc>
      </w:tr>
    </w:tbl>
    <w:p>
      <w:pPr>
        <w:pStyle w:val="Heading1"/>
        <w:pBdr>
          <w:bottom w:val="single" w:color="1F3864" w:sz="8" w:space="4"/>
        </w:pBdr>
        <w:spacing w:after="180" w:before="360"/>
      </w:pPr>
      <w:r>
        <w:rPr>
          <w:b/>
          <w:bCs/>
          <w:color w:val="1F3864"/>
          <w:sz w:val="30"/>
          <w:szCs w:val="30"/>
        </w:rPr>
        <w:t xml:space="preserve">7. SENIBINA TEKNIKAL (TECHNICAL ARCHITECTURE)</w:t>
      </w:r>
    </w:p>
    <w:p>
      <w:pPr>
        <w:pStyle w:val="Heading2"/>
        <w:spacing w:after="140" w:before="260"/>
      </w:pPr>
      <w:r>
        <w:rPr>
          <w:b/>
          <w:bCs/>
          <w:color w:val="2E5395"/>
          <w:sz w:val="25"/>
          <w:szCs w:val="25"/>
        </w:rPr>
        <w:t xml:space="preserve">7.1 Tindanan Teknologi (Technology Stack)</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500"/>
        <w:gridCol w:w="6680"/>
      </w:tblGrid>
      <w:tr>
        <w:tc>
          <w:tcPr>
            <w:tcW w:type="dxa" w:w="2500"/>
            <w:shd w:fill="1F3864" w:val="clear"/>
            <w:tcMar>
              <w:top w:type="dxa" w:w="80"/>
              <w:left w:type="dxa" w:w="100"/>
              <w:bottom w:type="dxa" w:w="80"/>
              <w:right w:type="dxa" w:w="100"/>
            </w:tcMar>
            <w:vAlign w:val="center"/>
          </w:tcPr>
          <w:p>
            <w:r>
              <w:rPr>
                <w:b/>
                <w:bCs/>
                <w:color w:val="FFFFFF"/>
                <w:sz w:val="20"/>
                <w:szCs w:val="20"/>
              </w:rPr>
              <w:t xml:space="preserve">Komponen</w:t>
            </w:r>
          </w:p>
        </w:tc>
        <w:tc>
          <w:tcPr>
            <w:tcW w:type="dxa" w:w="6680"/>
            <w:shd w:fill="1F3864" w:val="clear"/>
            <w:tcMar>
              <w:top w:type="dxa" w:w="80"/>
              <w:left w:type="dxa" w:w="100"/>
              <w:bottom w:type="dxa" w:w="80"/>
              <w:right w:type="dxa" w:w="100"/>
            </w:tcMar>
            <w:vAlign w:val="center"/>
          </w:tcPr>
          <w:p>
            <w:r>
              <w:rPr>
                <w:b/>
                <w:bCs/>
                <w:color w:val="FFFFFF"/>
                <w:sz w:val="20"/>
                <w:szCs w:val="20"/>
              </w:rPr>
              <w:t xml:space="preserve">Teknologi Dicadangkan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Frontend Framework</w:t>
            </w:r>
          </w:p>
        </w:tc>
        <w:tc>
          <w:tcPr>
            <w:tcW w:type="dxa" w:w="6680"/>
            <w:tcMar>
              <w:top w:type="dxa" w:w="80"/>
              <w:left w:type="dxa" w:w="100"/>
              <w:bottom w:type="dxa" w:w="80"/>
              <w:right w:type="dxa" w:w="100"/>
            </w:tcMar>
            <w:vAlign w:val="center"/>
          </w:tcPr>
          <w:p>
            <w:r>
              <w:rPr>
                <w:b w:val="false"/>
                <w:bCs w:val="false"/>
                <w:color w:val="000000"/>
                <w:sz w:val="20"/>
                <w:szCs w:val="20"/>
              </w:rPr>
              <w:t xml:space="preserve">React.js (versi 18+), dengan React Router untuk navigasi berbilang halaman</w:t>
            </w:r>
          </w:p>
        </w:tc>
      </w:tr>
      <w:tr>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Pengurusan State</w:t>
            </w:r>
          </w:p>
        </w:tc>
        <w:tc>
          <w:tcPr>
            <w:tcW w:type="dxa" w:w="6680"/>
            <w:shd w:fill="F2F2F2" w:val="clear"/>
            <w:tcMar>
              <w:top w:type="dxa" w:w="80"/>
              <w:left w:type="dxa" w:w="100"/>
              <w:bottom w:type="dxa" w:w="80"/>
              <w:right w:type="dxa" w:w="100"/>
            </w:tcMar>
            <w:vAlign w:val="center"/>
          </w:tcPr>
          <w:p>
            <w:r>
              <w:rPr>
                <w:b w:val="false"/>
                <w:bCs w:val="false"/>
                <w:color w:val="000000"/>
                <w:sz w:val="20"/>
                <w:szCs w:val="20"/>
              </w:rPr>
              <w:t xml:space="preserve">React Context API / Redux Toolkit (bergantung kepada kerumitan aplikasi)</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Reka Bentuk UI</w:t>
            </w:r>
          </w:p>
        </w:tc>
        <w:tc>
          <w:tcPr>
            <w:tcW w:type="dxa" w:w="6680"/>
            <w:tcMar>
              <w:top w:type="dxa" w:w="80"/>
              <w:left w:type="dxa" w:w="100"/>
              <w:bottom w:type="dxa" w:w="80"/>
              <w:right w:type="dxa" w:w="100"/>
            </w:tcMar>
            <w:vAlign w:val="center"/>
          </w:tcPr>
          <w:p>
            <w:r>
              <w:rPr>
                <w:b w:val="false"/>
                <w:bCs w:val="false"/>
                <w:color w:val="000000"/>
                <w:sz w:val="20"/>
                <w:szCs w:val="20"/>
              </w:rPr>
              <w:t xml:space="preserve">Tailwind CSS / Material UI (MUI) untuk komponen dashboard yang konsisten</w:t>
            </w:r>
          </w:p>
        </w:tc>
      </w:tr>
      <w:tr>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Carta &amp; Visualisasi Data</w:t>
            </w:r>
          </w:p>
        </w:tc>
        <w:tc>
          <w:tcPr>
            <w:tcW w:type="dxa" w:w="6680"/>
            <w:shd w:fill="F2F2F2" w:val="clear"/>
            <w:tcMar>
              <w:top w:type="dxa" w:w="80"/>
              <w:left w:type="dxa" w:w="100"/>
              <w:bottom w:type="dxa" w:w="80"/>
              <w:right w:type="dxa" w:w="100"/>
            </w:tcMar>
            <w:vAlign w:val="center"/>
          </w:tcPr>
          <w:p>
            <w:r>
              <w:rPr>
                <w:b w:val="false"/>
                <w:bCs w:val="false"/>
                <w:color w:val="000000"/>
                <w:sz w:val="20"/>
                <w:szCs w:val="20"/>
              </w:rPr>
              <w:t xml:space="preserve">Recharts / Chart.js / ApexCharts untuk carta bar, pai, garis dan carta Gantt</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Peta Interaktif</w:t>
            </w:r>
          </w:p>
        </w:tc>
        <w:tc>
          <w:tcPr>
            <w:tcW w:type="dxa" w:w="6680"/>
            <w:tcMar>
              <w:top w:type="dxa" w:w="80"/>
              <w:left w:type="dxa" w:w="100"/>
              <w:bottom w:type="dxa" w:w="80"/>
              <w:right w:type="dxa" w:w="100"/>
            </w:tcMar>
            <w:vAlign w:val="center"/>
          </w:tcPr>
          <w:p>
            <w:r>
              <w:rPr>
                <w:b w:val="false"/>
                <w:bCs w:val="false"/>
                <w:color w:val="000000"/>
                <w:sz w:val="20"/>
                <w:szCs w:val="20"/>
              </w:rPr>
              <w:t xml:space="preserve">Leaflet.js / React-Leaflet untuk paparan taburan program mengikut lokasi</w:t>
            </w:r>
          </w:p>
        </w:tc>
      </w:tr>
      <w:tr>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Pangkalan Data Dummy</w:t>
            </w:r>
          </w:p>
        </w:tc>
        <w:tc>
          <w:tcPr>
            <w:tcW w:type="dxa" w:w="6680"/>
            <w:shd w:fill="F2F2F2" w:val="clear"/>
            <w:tcMar>
              <w:top w:type="dxa" w:w="80"/>
              <w:left w:type="dxa" w:w="100"/>
              <w:bottom w:type="dxa" w:w="80"/>
              <w:right w:type="dxa" w:w="100"/>
            </w:tcMar>
            <w:vAlign w:val="center"/>
          </w:tcPr>
          <w:p>
            <w:r>
              <w:rPr>
                <w:b w:val="false"/>
                <w:bCs w:val="false"/>
                <w:color w:val="000000"/>
                <w:sz w:val="20"/>
                <w:szCs w:val="20"/>
              </w:rPr>
              <w:t xml:space="preserve">JSON Server / Mock Service Worker (MSW) / fail JSON statik bagi mensimulasikan REST API</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Alat Bantuan Pembangunan (AI-assisted)</w:t>
            </w:r>
          </w:p>
        </w:tc>
        <w:tc>
          <w:tcPr>
            <w:tcW w:type="dxa" w:w="6680"/>
            <w:tcMar>
              <w:top w:type="dxa" w:w="80"/>
              <w:left w:type="dxa" w:w="100"/>
              <w:bottom w:type="dxa" w:w="80"/>
              <w:right w:type="dxa" w:w="100"/>
            </w:tcMar>
            <w:vAlign w:val="center"/>
          </w:tcPr>
          <w:p>
            <w:r>
              <w:rPr>
                <w:b w:val="false"/>
                <w:bCs w:val="false"/>
                <w:color w:val="000000"/>
                <w:sz w:val="20"/>
                <w:szCs w:val="20"/>
              </w:rPr>
              <w:t xml:space="preserve">z.ai — Model GLM 5.2, digunakan untuk penjanaan kod komponen React, penstrukturan data dummy, dan pempercepatan pembangunan prototaip</w:t>
            </w:r>
          </w:p>
        </w:tc>
      </w:tr>
      <w:tr>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Kawalan Versi</w:t>
            </w:r>
          </w:p>
        </w:tc>
        <w:tc>
          <w:tcPr>
            <w:tcW w:type="dxa" w:w="6680"/>
            <w:shd w:fill="F2F2F2" w:val="clear"/>
            <w:tcMar>
              <w:top w:type="dxa" w:w="80"/>
              <w:left w:type="dxa" w:w="100"/>
              <w:bottom w:type="dxa" w:w="80"/>
              <w:right w:type="dxa" w:w="100"/>
            </w:tcMar>
            <w:vAlign w:val="center"/>
          </w:tcPr>
          <w:p>
            <w:r>
              <w:rPr>
                <w:b w:val="false"/>
                <w:bCs w:val="false"/>
                <w:color w:val="000000"/>
                <w:sz w:val="20"/>
                <w:szCs w:val="20"/>
              </w:rPr>
              <w:t xml:space="preserve">Git / GitHub atau GitLab dalaman KPKT</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Persekitaran Pembangunan</w:t>
            </w:r>
          </w:p>
        </w:tc>
        <w:tc>
          <w:tcPr>
            <w:tcW w:type="dxa" w:w="6680"/>
            <w:tcMar>
              <w:top w:type="dxa" w:w="80"/>
              <w:left w:type="dxa" w:w="100"/>
              <w:bottom w:type="dxa" w:w="80"/>
              <w:right w:type="dxa" w:w="100"/>
            </w:tcMar>
            <w:vAlign w:val="center"/>
          </w:tcPr>
          <w:p>
            <w:r>
              <w:rPr>
                <w:b w:val="false"/>
                <w:bCs w:val="false"/>
                <w:color w:val="000000"/>
                <w:sz w:val="20"/>
                <w:szCs w:val="20"/>
              </w:rPr>
              <w:t xml:space="preserve">Node.js &amp; npm/yarn, Vite atau Create React App sebagai build tool</w:t>
            </w:r>
          </w:p>
        </w:tc>
      </w:tr>
    </w:tbl>
    <w:p>
      <w:pPr>
        <w:pStyle w:val="Heading2"/>
        <w:spacing w:after="140" w:before="260"/>
      </w:pPr>
      <w:r>
        <w:rPr>
          <w:b/>
          <w:bCs/>
          <w:color w:val="2E5395"/>
          <w:sz w:val="25"/>
          <w:szCs w:val="25"/>
        </w:rPr>
        <w:t xml:space="preserve">7.2 Rasional Penggunaan Pangkalan Data Dummy</w:t>
      </w:r>
    </w:p>
    <w:p>
      <w:pPr>
        <w:spacing w:after="160" w:line="276"/>
        <w:jc w:val="both"/>
      </w:pPr>
      <w:r>
        <w:rPr>
          <w:sz w:val="22"/>
          <w:szCs w:val="22"/>
        </w:rPr>
        <w:t xml:space="preserve">Bagi Fasa 1 (Proof-of-Concept/MVP), sistem akan menggunakan pangkalan data dummy berbentuk fail JSON berstruktur yang disajikan melalui mock API (contohnya menggunakan json-server) atau disimpan secara statik dalam aplikasi React. Pendekatan ini membolehkan pasukan pembangunan menguji keseluruhan aliran kerja (workflow) sistem — daripada perancangan sehingga penilaian program — tanpa pergantungan kepada infrastruktur pelayan dan pangkalan data sebenar KPKT, sekali gus mempercepatkan kitaran pembangunan dan pengesahan reka bentuk bersama pihak berkepentingan.</w:t>
      </w:r>
    </w:p>
    <w:p>
      <w:pPr>
        <w:pStyle w:val="Heading2"/>
        <w:spacing w:after="140" w:before="260"/>
      </w:pPr>
      <w:r>
        <w:rPr>
          <w:b/>
          <w:bCs/>
          <w:color w:val="2E5395"/>
          <w:sz w:val="25"/>
          <w:szCs w:val="25"/>
        </w:rPr>
        <w:t xml:space="preserve">7.3 Peranan z.ai (GLM 5.2) dalam Pembangunan</w:t>
      </w:r>
    </w:p>
    <w:p>
      <w:pPr>
        <w:spacing w:after="160" w:line="276"/>
        <w:jc w:val="both"/>
      </w:pPr>
      <w:r>
        <w:rPr>
          <w:sz w:val="22"/>
          <w:szCs w:val="22"/>
        </w:rPr>
        <w:t xml:space="preserve">Model GLM 5.2 melalui platform z.ai akan digunakan sebagai alat bantuan pembangunan (AI coding assistant) untuk:</w:t>
      </w:r>
    </w:p>
    <w:p>
      <w:pPr>
        <w:pStyle w:val="ListParagraph"/>
        <w:numPr>
          <w:ilvl w:val="0"/>
          <w:numId w:val="2"/>
        </w:numPr>
        <w:spacing w:after="80"/>
      </w:pPr>
      <w:r>
        <w:rPr>
          <w:sz w:val="22"/>
          <w:szCs w:val="22"/>
        </w:rPr>
        <w:t xml:space="preserve">Menjana struktur komponen React (component scaffolding) bagi setiap modul dashboard</w:t>
      </w:r>
    </w:p>
    <w:p>
      <w:pPr>
        <w:pStyle w:val="ListParagraph"/>
        <w:numPr>
          <w:ilvl w:val="0"/>
          <w:numId w:val="2"/>
        </w:numPr>
        <w:spacing w:after="80"/>
      </w:pPr>
      <w:r>
        <w:rPr>
          <w:sz w:val="22"/>
          <w:szCs w:val="22"/>
        </w:rPr>
        <w:t xml:space="preserve">Menghasilkan set data dummy yang realistik dan konsisten dalam format JSON</w:t>
      </w:r>
    </w:p>
    <w:p>
      <w:pPr>
        <w:pStyle w:val="ListParagraph"/>
        <w:numPr>
          <w:ilvl w:val="0"/>
          <w:numId w:val="2"/>
        </w:numPr>
        <w:spacing w:after="80"/>
      </w:pPr>
      <w:r>
        <w:rPr>
          <w:sz w:val="22"/>
          <w:szCs w:val="22"/>
        </w:rPr>
        <w:t xml:space="preserve">Membantu penulisan logik carta/visualisasi data dan penapis (filter)</w:t>
      </w:r>
    </w:p>
    <w:p>
      <w:pPr>
        <w:pStyle w:val="ListParagraph"/>
        <w:numPr>
          <w:ilvl w:val="0"/>
          <w:numId w:val="2"/>
        </w:numPr>
        <w:spacing w:after="80"/>
      </w:pPr>
      <w:r>
        <w:rPr>
          <w:sz w:val="22"/>
          <w:szCs w:val="22"/>
        </w:rPr>
        <w:t xml:space="preserve">Mempercepatkan proses debugging dan penambahbaikan kod semasa fasa pembangunan prototaip</w:t>
      </w:r>
    </w:p>
    <w:p>
      <w:pPr>
        <w:pStyle w:val="Heading2"/>
        <w:spacing w:after="140" w:before="260"/>
      </w:pPr>
      <w:r>
        <w:rPr>
          <w:b/>
          <w:bCs/>
          <w:color w:val="2E5395"/>
          <w:sz w:val="25"/>
          <w:szCs w:val="25"/>
        </w:rPr>
        <w:t xml:space="preserve">7.4 Pelan Integrasi Masa Depan dengan Sistem Kewangan Kerajaan</w:t>
      </w:r>
    </w:p>
    <w:p>
      <w:pPr>
        <w:spacing w:after="160" w:line="276"/>
        <w:jc w:val="both"/>
      </w:pPr>
      <w:r>
        <w:rPr>
          <w:sz w:val="22"/>
          <w:szCs w:val="22"/>
        </w:rPr>
        <w:t xml:space="preserve">Walaupun Fasa 1 menggunakan pangkalan data dummy, reka bentuk sub-modul Pemantauan Peruntukan OE (Bahagian 5.3.1) mesti mengambil kira keperluan integrasi masa depan dengan sistem kewangan rasmi Kerajaan Persekutuan, khususnya iGFMAS yang diselenggara oleh Jabatan Akauntan Negara Malaysia (JANM) bagi pihak Kementerian Kewangan. Antara pertimbangan reka bentuk adalah:</w:t>
      </w:r>
    </w:p>
    <w:p>
      <w:pPr>
        <w:pStyle w:val="ListParagraph"/>
        <w:numPr>
          <w:ilvl w:val="0"/>
          <w:numId w:val="2"/>
        </w:numPr>
        <w:spacing w:after="80"/>
      </w:pPr>
      <w:r>
        <w:rPr>
          <w:sz w:val="22"/>
          <w:szCs w:val="22"/>
        </w:rPr>
        <w:t xml:space="preserve">Struktur medan data (objek am, kod vot, kod aktiviti) direka supaya selari dengan carta akaun (chart of accounts) iGFMAS bagi memudahkan pemetaan data pada fasa integrasi.</w:t>
      </w:r>
    </w:p>
    <w:p>
      <w:pPr>
        <w:pStyle w:val="ListParagraph"/>
        <w:numPr>
          <w:ilvl w:val="0"/>
          <w:numId w:val="2"/>
        </w:numPr>
        <w:spacing w:after="80"/>
      </w:pPr>
      <w:r>
        <w:rPr>
          <w:sz w:val="22"/>
          <w:szCs w:val="22"/>
        </w:rPr>
        <w:t xml:space="preserve">Lapisan perkhidmatan data (data service layer) React direka secara modular (contoh: menggunakan custom hooks/API adapter pattern) supaya sumber data dummy JSON boleh digantikan dengan panggilan API iGFMAS/eSPKB sebenar tanpa perubahan besar pada komponen UI.</w:t>
      </w:r>
    </w:p>
    <w:p>
      <w:pPr>
        <w:pStyle w:val="ListParagraph"/>
        <w:numPr>
          <w:ilvl w:val="0"/>
          <w:numId w:val="2"/>
        </w:numPr>
        <w:spacing w:after="80"/>
      </w:pPr>
      <w:r>
        <w:rPr>
          <w:sz w:val="22"/>
          <w:szCs w:val="22"/>
        </w:rPr>
        <w:t xml:space="preserve">Sebarang integrasi data sebenar dengan sistem MOF/JANM tertakluk kepada kelulusan capaian data rasmi, perjanjian pertukaran data (data sharing agreement), dan pematuhan dasar keselamatan siber Kerajaan (contoh: Rangka Kerja Keselamatan Siber Sektor Awam).</w:t>
      </w:r>
    </w:p>
    <w:p>
      <w:pPr>
        <w:pStyle w:val="ListParagraph"/>
        <w:numPr>
          <w:ilvl w:val="0"/>
          <w:numId w:val="2"/>
        </w:numPr>
        <w:spacing w:after="80"/>
      </w:pPr>
      <w:r>
        <w:rPr>
          <w:sz w:val="22"/>
          <w:szCs w:val="22"/>
        </w:rPr>
        <w:t xml:space="preserve">Fasa 1 (MVP) akan mensimulasikan format data waran peruntukan dan laporan prestasi perbelanjaan berdasarkan format piawai yang digunakan dalam pelaporan kewangan Kerajaan, bagi memudahkan pengesahan konsep bersama Bahagian Kewangan KPKT.</w:t>
      </w:r>
    </w:p>
    <w:p>
      <w:pPr>
        <w:pStyle w:val="Heading2"/>
        <w:spacing w:after="140" w:before="260"/>
      </w:pPr>
      <w:r>
        <w:rPr>
          <w:b/>
          <w:bCs/>
          <w:color w:val="2E5395"/>
          <w:sz w:val="25"/>
          <w:szCs w:val="25"/>
        </w:rPr>
        <w:t xml:space="preserve">7.5 Struktur Data Dummy (Contoh Model Data)</w:t>
      </w:r>
    </w:p>
    <w:p>
      <w:pPr>
        <w:spacing w:after="160" w:line="276"/>
        <w:jc w:val="both"/>
      </w:pPr>
      <w:r>
        <w:rPr>
          <w:sz w:val="22"/>
          <w:szCs w:val="22"/>
        </w:rPr>
        <w:t xml:space="preserve">Contoh struktur entiti utama bagi pangkalan data dummy (format JSON) adalah seperti berikut:</w:t>
      </w:r>
    </w:p>
    <w:p>
      <w:pPr>
        <w:pStyle w:val="Heading3"/>
        <w:spacing w:after="100" w:before="200"/>
      </w:pPr>
      <w:r>
        <w:rPr>
          <w:b/>
          <w:bCs/>
          <w:color w:val="595959"/>
          <w:sz w:val="22"/>
          <w:szCs w:val="22"/>
        </w:rPr>
        <w:t xml:space="preserve">Entiti: Program</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480"/>
      </w:tblGrid>
      <w:tr>
        <w:tc>
          <w:tcPr>
            <w:tcW w:type="dxa" w:w="2200"/>
            <w:shd w:fill="1F3864" w:val="clear"/>
            <w:tcMar>
              <w:top w:type="dxa" w:w="80"/>
              <w:left w:type="dxa" w:w="100"/>
              <w:bottom w:type="dxa" w:w="80"/>
              <w:right w:type="dxa" w:w="100"/>
            </w:tcMar>
            <w:vAlign w:val="center"/>
          </w:tcPr>
          <w:p>
            <w:r>
              <w:rPr>
                <w:b/>
                <w:bCs/>
                <w:color w:val="FFFFFF"/>
                <w:sz w:val="20"/>
                <w:szCs w:val="20"/>
              </w:rPr>
              <w:t xml:space="preserve">Medan (Field)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Jenis Data</w:t>
            </w:r>
          </w:p>
        </w:tc>
        <w:tc>
          <w:tcPr>
            <w:tcW w:type="dxa" w:w="4480"/>
            <w:shd w:fill="1F3864" w:val="clear"/>
            <w:tcMar>
              <w:top w:type="dxa" w:w="80"/>
              <w:left w:type="dxa" w:w="100"/>
              <w:bottom w:type="dxa" w:w="80"/>
              <w:right w:type="dxa" w:w="100"/>
            </w:tcMar>
            <w:vAlign w:val="center"/>
          </w:tcPr>
          <w:p>
            <w:r>
              <w:rPr>
                <w:b/>
                <w:bCs/>
                <w:color w:val="FFFFFF"/>
                <w:sz w:val="20"/>
                <w:szCs w:val="20"/>
              </w:rPr>
              <w:t xml:space="preserve">Penerangan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id</w:t>
            </w:r>
          </w:p>
        </w:tc>
        <w:tc>
          <w:tcPr>
            <w:tcW w:type="dxa" w:w="2500"/>
            <w:tcMar>
              <w:top w:type="dxa" w:w="80"/>
              <w:left w:type="dxa" w:w="100"/>
              <w:bottom w:type="dxa" w:w="80"/>
              <w:right w:type="dxa" w:w="100"/>
            </w:tcMar>
            <w:vAlign w:val="center"/>
          </w:tcPr>
          <w:p>
            <w:r>
              <w:rPr>
                <w:b w:val="false"/>
                <w:bCs w:val="false"/>
                <w:color w:val="000000"/>
                <w:sz w:val="20"/>
                <w:szCs w:val="20"/>
              </w:rPr>
              <w:t xml:space="preserve">String/UUID</w:t>
            </w:r>
          </w:p>
        </w:tc>
        <w:tc>
          <w:tcPr>
            <w:tcW w:type="dxa" w:w="4480"/>
            <w:tcMar>
              <w:top w:type="dxa" w:w="80"/>
              <w:left w:type="dxa" w:w="100"/>
              <w:bottom w:type="dxa" w:w="80"/>
              <w:right w:type="dxa" w:w="100"/>
            </w:tcMar>
            <w:vAlign w:val="center"/>
          </w:tcPr>
          <w:p>
            <w:r>
              <w:rPr>
                <w:b w:val="false"/>
                <w:bCs w:val="false"/>
                <w:color w:val="000000"/>
                <w:sz w:val="20"/>
                <w:szCs w:val="20"/>
              </w:rPr>
              <w:t xml:space="preserve">Pengecam unik program</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namaProgram</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4480"/>
            <w:shd w:fill="F2F2F2" w:val="clear"/>
            <w:tcMar>
              <w:top w:type="dxa" w:w="80"/>
              <w:left w:type="dxa" w:w="100"/>
              <w:bottom w:type="dxa" w:w="80"/>
              <w:right w:type="dxa" w:w="100"/>
            </w:tcMar>
            <w:vAlign w:val="center"/>
          </w:tcPr>
          <w:p>
            <w:r>
              <w:rPr>
                <w:b w:val="false"/>
                <w:bCs w:val="false"/>
                <w:color w:val="000000"/>
                <w:sz w:val="20"/>
                <w:szCs w:val="20"/>
              </w:rPr>
              <w:t xml:space="preserve">Nama program pembangunan komuniti</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kategori</w:t>
            </w:r>
          </w:p>
        </w:tc>
        <w:tc>
          <w:tcPr>
            <w:tcW w:type="dxa" w:w="2500"/>
            <w:tcMar>
              <w:top w:type="dxa" w:w="80"/>
              <w:left w:type="dxa" w:w="100"/>
              <w:bottom w:type="dxa" w:w="80"/>
              <w:right w:type="dxa" w:w="100"/>
            </w:tcMar>
            <w:vAlign w:val="center"/>
          </w:tcPr>
          <w:p>
            <w:r>
              <w:rPr>
                <w:b w:val="false"/>
                <w:bCs w:val="false"/>
                <w:color w:val="000000"/>
                <w:sz w:val="20"/>
                <w:szCs w:val="20"/>
              </w:rPr>
              <w:t xml:space="preserve">String</w:t>
            </w:r>
          </w:p>
        </w:tc>
        <w:tc>
          <w:tcPr>
            <w:tcW w:type="dxa" w:w="4480"/>
            <w:tcMar>
              <w:top w:type="dxa" w:w="80"/>
              <w:left w:type="dxa" w:w="100"/>
              <w:bottom w:type="dxa" w:w="80"/>
              <w:right w:type="dxa" w:w="100"/>
            </w:tcMar>
            <w:vAlign w:val="center"/>
          </w:tcPr>
          <w:p>
            <w:r>
              <w:rPr>
                <w:b w:val="false"/>
                <w:bCs w:val="false"/>
                <w:color w:val="000000"/>
                <w:sz w:val="20"/>
                <w:szCs w:val="20"/>
              </w:rPr>
              <w:t xml:space="preserve">Contoh: Infrastruktur, Sosioekonomi, Kesejahteraan Rakyat</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negeri / daerah</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4480"/>
            <w:shd w:fill="F2F2F2" w:val="clear"/>
            <w:tcMar>
              <w:top w:type="dxa" w:w="80"/>
              <w:left w:type="dxa" w:w="100"/>
              <w:bottom w:type="dxa" w:w="80"/>
              <w:right w:type="dxa" w:w="100"/>
            </w:tcMar>
            <w:vAlign w:val="center"/>
          </w:tcPr>
          <w:p>
            <w:r>
              <w:rPr>
                <w:b w:val="false"/>
                <w:bCs w:val="false"/>
                <w:color w:val="000000"/>
                <w:sz w:val="20"/>
                <w:szCs w:val="20"/>
              </w:rPr>
              <w:t xml:space="preserve">Lokasi pelaksanaan program</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status</w:t>
            </w:r>
          </w:p>
        </w:tc>
        <w:tc>
          <w:tcPr>
            <w:tcW w:type="dxa" w:w="2500"/>
            <w:tcMar>
              <w:top w:type="dxa" w:w="80"/>
              <w:left w:type="dxa" w:w="100"/>
              <w:bottom w:type="dxa" w:w="80"/>
              <w:right w:type="dxa" w:w="100"/>
            </w:tcMar>
            <w:vAlign w:val="center"/>
          </w:tcPr>
          <w:p>
            <w:r>
              <w:rPr>
                <w:b w:val="false"/>
                <w:bCs w:val="false"/>
                <w:color w:val="000000"/>
                <w:sz w:val="20"/>
                <w:szCs w:val="20"/>
              </w:rPr>
              <w:t xml:space="preserve">Enum</w:t>
            </w:r>
          </w:p>
        </w:tc>
        <w:tc>
          <w:tcPr>
            <w:tcW w:type="dxa" w:w="4480"/>
            <w:tcMar>
              <w:top w:type="dxa" w:w="80"/>
              <w:left w:type="dxa" w:w="100"/>
              <w:bottom w:type="dxa" w:w="80"/>
              <w:right w:type="dxa" w:w="100"/>
            </w:tcMar>
            <w:vAlign w:val="center"/>
          </w:tcPr>
          <w:p>
            <w:r>
              <w:rPr>
                <w:b w:val="false"/>
                <w:bCs w:val="false"/>
                <w:color w:val="000000"/>
                <w:sz w:val="20"/>
                <w:szCs w:val="20"/>
              </w:rPr>
              <w:t xml:space="preserve">Perancangan | Diluluskan | Dalam Pelaksanaan | Selesai | Tergendala</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bajetDianggar / bajetSebenar</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Number</w:t>
            </w:r>
          </w:p>
        </w:tc>
        <w:tc>
          <w:tcPr>
            <w:tcW w:type="dxa" w:w="4480"/>
            <w:shd w:fill="F2F2F2" w:val="clear"/>
            <w:tcMar>
              <w:top w:type="dxa" w:w="80"/>
              <w:left w:type="dxa" w:w="100"/>
              <w:bottom w:type="dxa" w:w="80"/>
              <w:right w:type="dxa" w:w="100"/>
            </w:tcMar>
            <w:vAlign w:val="center"/>
          </w:tcPr>
          <w:p>
            <w:r>
              <w:rPr>
                <w:b w:val="false"/>
                <w:bCs w:val="false"/>
                <w:color w:val="000000"/>
                <w:sz w:val="20"/>
                <w:szCs w:val="20"/>
              </w:rPr>
              <w:t xml:space="preserve">Nilai bajet dalam Ringgit Malaysia (RM)</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tarikhMula / tarikhTamat</w:t>
            </w:r>
          </w:p>
        </w:tc>
        <w:tc>
          <w:tcPr>
            <w:tcW w:type="dxa" w:w="2500"/>
            <w:tcMar>
              <w:top w:type="dxa" w:w="80"/>
              <w:left w:type="dxa" w:w="100"/>
              <w:bottom w:type="dxa" w:w="80"/>
              <w:right w:type="dxa" w:w="100"/>
            </w:tcMar>
            <w:vAlign w:val="center"/>
          </w:tcPr>
          <w:p>
            <w:r>
              <w:rPr>
                <w:b w:val="false"/>
                <w:bCs w:val="false"/>
                <w:color w:val="000000"/>
                <w:sz w:val="20"/>
                <w:szCs w:val="20"/>
              </w:rPr>
              <w:t xml:space="preserve">Date</w:t>
            </w:r>
          </w:p>
        </w:tc>
        <w:tc>
          <w:tcPr>
            <w:tcW w:type="dxa" w:w="4480"/>
            <w:tcMar>
              <w:top w:type="dxa" w:w="80"/>
              <w:left w:type="dxa" w:w="100"/>
              <w:bottom w:type="dxa" w:w="80"/>
              <w:right w:type="dxa" w:w="100"/>
            </w:tcMar>
            <w:vAlign w:val="center"/>
          </w:tcPr>
          <w:p>
            <w:r>
              <w:rPr>
                <w:b w:val="false"/>
                <w:bCs w:val="false"/>
                <w:color w:val="000000"/>
                <w:sz w:val="20"/>
                <w:szCs w:val="20"/>
              </w:rPr>
              <w:t xml:space="preserve">Tempoh pelaksanaan program</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kpiSasaran</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Array/Object</w:t>
            </w:r>
          </w:p>
        </w:tc>
        <w:tc>
          <w:tcPr>
            <w:tcW w:type="dxa" w:w="4480"/>
            <w:shd w:fill="F2F2F2" w:val="clear"/>
            <w:tcMar>
              <w:top w:type="dxa" w:w="80"/>
              <w:left w:type="dxa" w:w="100"/>
              <w:bottom w:type="dxa" w:w="80"/>
              <w:right w:type="dxa" w:w="100"/>
            </w:tcMar>
            <w:vAlign w:val="center"/>
          </w:tcPr>
          <w:p>
            <w:r>
              <w:rPr>
                <w:b w:val="false"/>
                <w:bCs w:val="false"/>
                <w:color w:val="000000"/>
                <w:sz w:val="20"/>
                <w:szCs w:val="20"/>
              </w:rPr>
              <w:t xml:space="preserve">Senarai KPI dan sasaran ditetapkan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peratusKemajuan</w:t>
            </w:r>
          </w:p>
        </w:tc>
        <w:tc>
          <w:tcPr>
            <w:tcW w:type="dxa" w:w="2500"/>
            <w:tcMar>
              <w:top w:type="dxa" w:w="80"/>
              <w:left w:type="dxa" w:w="100"/>
              <w:bottom w:type="dxa" w:w="80"/>
              <w:right w:type="dxa" w:w="100"/>
            </w:tcMar>
            <w:vAlign w:val="center"/>
          </w:tcPr>
          <w:p>
            <w:r>
              <w:rPr>
                <w:b w:val="false"/>
                <w:bCs w:val="false"/>
                <w:color w:val="000000"/>
                <w:sz w:val="20"/>
                <w:szCs w:val="20"/>
              </w:rPr>
              <w:t xml:space="preserve">Number (0-100)</w:t>
            </w:r>
          </w:p>
        </w:tc>
        <w:tc>
          <w:tcPr>
            <w:tcW w:type="dxa" w:w="4480"/>
            <w:tcMar>
              <w:top w:type="dxa" w:w="80"/>
              <w:left w:type="dxa" w:w="100"/>
              <w:bottom w:type="dxa" w:w="80"/>
              <w:right w:type="dxa" w:w="100"/>
            </w:tcMar>
            <w:vAlign w:val="center"/>
          </w:tcPr>
          <w:p>
            <w:r>
              <w:rPr>
                <w:b w:val="false"/>
                <w:bCs w:val="false"/>
                <w:color w:val="000000"/>
                <w:sz w:val="20"/>
                <w:szCs w:val="20"/>
              </w:rPr>
              <w:t xml:space="preserve">Peratus kemajuan pelaksanaan semasa</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skorPenilaian</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Number</w:t>
            </w:r>
          </w:p>
        </w:tc>
        <w:tc>
          <w:tcPr>
            <w:tcW w:type="dxa" w:w="4480"/>
            <w:shd w:fill="F2F2F2" w:val="clear"/>
            <w:tcMar>
              <w:top w:type="dxa" w:w="80"/>
              <w:left w:type="dxa" w:w="100"/>
              <w:bottom w:type="dxa" w:w="80"/>
              <w:right w:type="dxa" w:w="100"/>
            </w:tcMar>
            <w:vAlign w:val="center"/>
          </w:tcPr>
          <w:p>
            <w:r>
              <w:rPr>
                <w:b w:val="false"/>
                <w:bCs w:val="false"/>
                <w:color w:val="000000"/>
                <w:sz w:val="20"/>
                <w:szCs w:val="20"/>
              </w:rPr>
              <w:t xml:space="preserve">Skor penilaian pasca-pelaksanaan (1-5)</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penerimaManfaat</w:t>
            </w:r>
          </w:p>
        </w:tc>
        <w:tc>
          <w:tcPr>
            <w:tcW w:type="dxa" w:w="2500"/>
            <w:tcMar>
              <w:top w:type="dxa" w:w="80"/>
              <w:left w:type="dxa" w:w="100"/>
              <w:bottom w:type="dxa" w:w="80"/>
              <w:right w:type="dxa" w:w="100"/>
            </w:tcMar>
            <w:vAlign w:val="center"/>
          </w:tcPr>
          <w:p>
            <w:r>
              <w:rPr>
                <w:b w:val="false"/>
                <w:bCs w:val="false"/>
                <w:color w:val="000000"/>
                <w:sz w:val="20"/>
                <w:szCs w:val="20"/>
              </w:rPr>
              <w:t xml:space="preserve">Number</w:t>
            </w:r>
          </w:p>
        </w:tc>
        <w:tc>
          <w:tcPr>
            <w:tcW w:type="dxa" w:w="4480"/>
            <w:tcMar>
              <w:top w:type="dxa" w:w="80"/>
              <w:left w:type="dxa" w:w="100"/>
              <w:bottom w:type="dxa" w:w="80"/>
              <w:right w:type="dxa" w:w="100"/>
            </w:tcMar>
            <w:vAlign w:val="center"/>
          </w:tcPr>
          <w:p>
            <w:r>
              <w:rPr>
                <w:b w:val="false"/>
                <w:bCs w:val="false"/>
                <w:color w:val="000000"/>
                <w:sz w:val="20"/>
                <w:szCs w:val="20"/>
              </w:rPr>
              <w:t xml:space="preserve">Anggaran/bilangan sebenar penerima manfaat</w:t>
            </w:r>
          </w:p>
        </w:tc>
      </w:tr>
    </w:tbl>
    <w:p>
      <w:pPr>
        <w:pStyle w:val="Heading1"/>
        <w:pBdr>
          <w:bottom w:val="single" w:color="1F3864" w:sz="8" w:space="4"/>
        </w:pBdr>
        <w:spacing w:after="180" w:before="360"/>
      </w:pPr>
      <w:r>
        <w:rPr>
          <w:b/>
          <w:bCs/>
          <w:color w:val="1F3864"/>
          <w:sz w:val="30"/>
          <w:szCs w:val="30"/>
        </w:rPr>
        <w:t xml:space="preserve">8. ALIRAN PENGGUNA (USER FLOW) UTAMA</w:t>
      </w:r>
    </w:p>
    <w:p>
      <w:pPr>
        <w:pStyle w:val="Heading2"/>
        <w:spacing w:after="140" w:before="260"/>
      </w:pPr>
      <w:r>
        <w:rPr>
          <w:b/>
          <w:bCs/>
          <w:color w:val="2E5395"/>
          <w:sz w:val="25"/>
          <w:szCs w:val="25"/>
        </w:rPr>
        <w:t xml:space="preserve">8.1 Aliran Perancangan Program</w:t>
      </w:r>
    </w:p>
    <w:p>
      <w:pPr>
        <w:spacing w:after="160" w:line="276"/>
        <w:jc w:val="both"/>
      </w:pPr>
      <w:r>
        <w:rPr>
          <w:sz w:val="22"/>
          <w:szCs w:val="22"/>
        </w:rPr>
        <w:t xml:space="preserve">Log Masuk → Papan Pemuka Utama → Modul Perancangan Program → Cipta Cadangan Baharu → Isi Maklumat Program (objektif, sasaran, bajet, KPI) → Muat Naik Dokumen Sokongan → Hantar untuk Semakan → Kelulusan oleh Pengurus Program → Program Berstatus "Diluluskan".</w:t>
      </w:r>
    </w:p>
    <w:p>
      <w:pPr>
        <w:pStyle w:val="Heading2"/>
        <w:spacing w:after="140" w:before="260"/>
      </w:pPr>
      <w:r>
        <w:rPr>
          <w:b/>
          <w:bCs/>
          <w:color w:val="2E5395"/>
          <w:sz w:val="25"/>
          <w:szCs w:val="25"/>
        </w:rPr>
        <w:t xml:space="preserve">8.2 Aliran Pemantauan Pelaksanaan</w:t>
      </w:r>
    </w:p>
    <w:p>
      <w:pPr>
        <w:spacing w:after="160" w:line="276"/>
        <w:jc w:val="both"/>
      </w:pPr>
      <w:r>
        <w:rPr>
          <w:sz w:val="22"/>
          <w:szCs w:val="22"/>
        </w:rPr>
        <w:t xml:space="preserve">Log Masuk → Senarai Program Aktif → Pilih Program → Kemas Kini Peratus Kemajuan → Muat Naik Bukti Pelaksanaan → Sistem Kemas Kini Penunjuk Status (Traffic Light) → Notifikasi Automatik jika Tergendala.</w:t>
      </w:r>
    </w:p>
    <w:p>
      <w:pPr>
        <w:pStyle w:val="Heading2"/>
        <w:spacing w:after="140" w:before="260"/>
      </w:pPr>
      <w:r>
        <w:rPr>
          <w:b/>
          <w:bCs/>
          <w:color w:val="2E5395"/>
          <w:sz w:val="25"/>
          <w:szCs w:val="25"/>
        </w:rPr>
        <w:t xml:space="preserve">8.3 Aliran Pemantauan Peruntukan OE</w:t>
      </w:r>
    </w:p>
    <w:p>
      <w:pPr>
        <w:spacing w:after="160" w:line="276"/>
        <w:jc w:val="both"/>
      </w:pPr>
      <w:r>
        <w:rPr>
          <w:sz w:val="22"/>
          <w:szCs w:val="22"/>
        </w:rPr>
        <w:t xml:space="preserve">Log Masuk → Modul Bajet &amp; Sumber → Sub-Modul Peruntukan OE → Pilih Tahun Kewangan/Bahagian → Papar Siling Peruntukan &amp; Waran Berkaitan → Kemas Kini Perbelanjaan/Komitmen Terkini → Sistem Kira Baki Peruntukan &amp; Penunjuk Status → Jana Laporan Prestasi Perbelanjaan untuk Bahagian Kewangan/MOF.</w:t>
      </w:r>
    </w:p>
    <w:p>
      <w:pPr>
        <w:pStyle w:val="Heading2"/>
        <w:spacing w:after="140" w:before="260"/>
      </w:pPr>
      <w:r>
        <w:rPr>
          <w:b/>
          <w:bCs/>
          <w:color w:val="2E5395"/>
          <w:sz w:val="25"/>
          <w:szCs w:val="25"/>
        </w:rPr>
        <w:t xml:space="preserve">8.4 Aliran Penilaian Program</w:t>
      </w:r>
    </w:p>
    <w:p>
      <w:pPr>
        <w:spacing w:after="160" w:line="276"/>
        <w:jc w:val="both"/>
      </w:pPr>
      <w:r>
        <w:rPr>
          <w:sz w:val="22"/>
          <w:szCs w:val="22"/>
        </w:rPr>
        <w:t xml:space="preserve">Log Masuk → Modul Penilaian → Pilih Program Selesai → Input Pencapaian Sebenar berbanding KPI → Rekod Maklum Balas Komuniti → Jana Skor Penilaian → Rekod Pengajaran &amp; Cadangan → Simpan Laporan Penilaian → Papar dalam Dashboard Analitik.</w:t>
      </w:r>
    </w:p>
    <w:p>
      <w:pPr>
        <w:pStyle w:val="Heading1"/>
        <w:pBdr>
          <w:bottom w:val="single" w:color="1F3864" w:sz="8" w:space="4"/>
        </w:pBdr>
        <w:spacing w:after="180" w:before="360"/>
      </w:pPr>
      <w:r>
        <w:rPr>
          <w:b/>
          <w:bCs/>
          <w:color w:val="1F3864"/>
          <w:sz w:val="30"/>
          <w:szCs w:val="30"/>
        </w:rPr>
        <w:t xml:space="preserve">9. GARIS PANDUAN REKA BENTUK ANTARA MUKA (UI/UX)</w:t>
      </w:r>
    </w:p>
    <w:p>
      <w:pPr>
        <w:pStyle w:val="ListParagraph"/>
        <w:numPr>
          <w:ilvl w:val="0"/>
          <w:numId w:val="2"/>
        </w:numPr>
        <w:spacing w:after="80"/>
      </w:pPr>
      <w:r>
        <w:rPr>
          <w:sz w:val="22"/>
          <w:szCs w:val="22"/>
        </w:rPr>
        <w:t xml:space="preserve">Susun atur dashboard mengikut prinsip "F-pattern": ringkasan KPI di bahagian atas, carta utama di tengah, jadual terperinci di bawah.</w:t>
      </w:r>
    </w:p>
    <w:p>
      <w:pPr>
        <w:pStyle w:val="ListParagraph"/>
        <w:numPr>
          <w:ilvl w:val="0"/>
          <w:numId w:val="2"/>
        </w:numPr>
        <w:spacing w:after="80"/>
      </w:pPr>
      <w:r>
        <w:rPr>
          <w:sz w:val="22"/>
          <w:szCs w:val="22"/>
        </w:rPr>
        <w:t xml:space="preserve">Skema warna mengikut identiti korporat KPKT (biru navy, putih, aksen kuning/emas) — boleh dirujuk kepada garis panduan jenama rasmi KPKT.</w:t>
      </w:r>
    </w:p>
    <w:p>
      <w:pPr>
        <w:pStyle w:val="ListParagraph"/>
        <w:numPr>
          <w:ilvl w:val="0"/>
          <w:numId w:val="2"/>
        </w:numPr>
        <w:spacing w:after="80"/>
      </w:pPr>
      <w:r>
        <w:rPr>
          <w:sz w:val="22"/>
          <w:szCs w:val="22"/>
        </w:rPr>
        <w:t xml:space="preserve">Penggunaan penunjuk status warna (traffic light: Hijau = On-Track, Kuning = Perhatian, Merah = Kritikal) secara konsisten di semua modul.</w:t>
      </w:r>
    </w:p>
    <w:p>
      <w:pPr>
        <w:pStyle w:val="ListParagraph"/>
        <w:numPr>
          <w:ilvl w:val="0"/>
          <w:numId w:val="2"/>
        </w:numPr>
        <w:spacing w:after="80"/>
      </w:pPr>
      <w:r>
        <w:rPr>
          <w:sz w:val="22"/>
          <w:szCs w:val="22"/>
        </w:rPr>
        <w:t xml:space="preserve">Navigasi sisi (sidebar navigation) tetap bagi memudahkan pergerakan antara modul (Perancangan, Pelaksanaan, Penilaian, Pelaporan).</w:t>
      </w:r>
    </w:p>
    <w:p>
      <w:pPr>
        <w:pStyle w:val="ListParagraph"/>
        <w:numPr>
          <w:ilvl w:val="0"/>
          <w:numId w:val="2"/>
        </w:numPr>
        <w:spacing w:after="80"/>
      </w:pPr>
      <w:r>
        <w:rPr>
          <w:sz w:val="22"/>
          <w:szCs w:val="22"/>
        </w:rPr>
        <w:t xml:space="preserve">Reka bentuk responsif untuk paparan desktop dan tablet.</w:t>
      </w:r>
    </w:p>
    <w:p>
      <w:pPr>
        <w:pStyle w:val="ListParagraph"/>
        <w:numPr>
          <w:ilvl w:val="0"/>
          <w:numId w:val="2"/>
        </w:numPr>
        <w:spacing w:after="80"/>
      </w:pPr>
      <w:r>
        <w:rPr>
          <w:sz w:val="22"/>
          <w:szCs w:val="22"/>
        </w:rPr>
        <w:t xml:space="preserve">Setiap carta/visualisasi perlu mempunyai tajuk, label paksi, dan legenda yang jelas dalam Bahasa Malaysia.</w:t>
      </w:r>
    </w:p>
    <w:p>
      <w:pPr>
        <w:pStyle w:val="Heading1"/>
        <w:pBdr>
          <w:bottom w:val="single" w:color="1F3864" w:sz="8" w:space="4"/>
        </w:pBdr>
        <w:spacing w:after="180" w:before="360"/>
      </w:pPr>
      <w:r>
        <w:rPr>
          <w:b/>
          <w:bCs/>
          <w:color w:val="1F3864"/>
          <w:sz w:val="30"/>
          <w:szCs w:val="30"/>
        </w:rPr>
        <w:t xml:space="preserve">10. PELAN PEMBANGUNAN DAN MILESTONE</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2000"/>
        <w:gridCol w:w="1480"/>
      </w:tblGrid>
      <w:tr>
        <w:tc>
          <w:tcPr>
            <w:tcW w:type="dxa" w:w="1500"/>
            <w:shd w:fill="1F3864" w:val="clear"/>
            <w:tcMar>
              <w:top w:type="dxa" w:w="80"/>
              <w:left w:type="dxa" w:w="100"/>
              <w:bottom w:type="dxa" w:w="80"/>
              <w:right w:type="dxa" w:w="100"/>
            </w:tcMar>
            <w:vAlign w:val="center"/>
          </w:tcPr>
          <w:p>
            <w:r>
              <w:rPr>
                <w:b/>
                <w:bCs/>
                <w:color w:val="FFFFFF"/>
                <w:sz w:val="20"/>
                <w:szCs w:val="20"/>
              </w:rPr>
              <w:t xml:space="preserve">Fasa</w:t>
            </w:r>
          </w:p>
        </w:tc>
        <w:tc>
          <w:tcPr>
            <w:tcW w:type="dxa" w:w="4200"/>
            <w:shd w:fill="1F3864" w:val="clear"/>
            <w:tcMar>
              <w:top w:type="dxa" w:w="80"/>
              <w:left w:type="dxa" w:w="100"/>
              <w:bottom w:type="dxa" w:w="80"/>
              <w:right w:type="dxa" w:w="100"/>
            </w:tcMar>
            <w:vAlign w:val="center"/>
          </w:tcPr>
          <w:p>
            <w:r>
              <w:rPr>
                <w:b/>
                <w:bCs/>
                <w:color w:val="FFFFFF"/>
                <w:sz w:val="20"/>
                <w:szCs w:val="20"/>
              </w:rPr>
              <w:t xml:space="preserve">Aktiviti Utama</w:t>
            </w:r>
          </w:p>
        </w:tc>
        <w:tc>
          <w:tcPr>
            <w:tcW w:type="dxa" w:w="2000"/>
            <w:shd w:fill="1F3864" w:val="clear"/>
            <w:tcMar>
              <w:top w:type="dxa" w:w="80"/>
              <w:left w:type="dxa" w:w="100"/>
              <w:bottom w:type="dxa" w:w="80"/>
              <w:right w:type="dxa" w:w="100"/>
            </w:tcMar>
            <w:vAlign w:val="center"/>
          </w:tcPr>
          <w:p>
            <w:r>
              <w:rPr>
                <w:b/>
                <w:bCs/>
                <w:color w:val="FFFFFF"/>
                <w:sz w:val="20"/>
                <w:szCs w:val="20"/>
              </w:rPr>
              <w:t xml:space="preserve">Output</w:t>
            </w:r>
          </w:p>
        </w:tc>
        <w:tc>
          <w:tcPr>
            <w:tcW w:type="dxa" w:w="1480"/>
            <w:shd w:fill="1F3864" w:val="clear"/>
            <w:tcMar>
              <w:top w:type="dxa" w:w="80"/>
              <w:left w:type="dxa" w:w="100"/>
              <w:bottom w:type="dxa" w:w="80"/>
              <w:right w:type="dxa" w:w="100"/>
            </w:tcMar>
            <w:vAlign w:val="center"/>
          </w:tcPr>
          <w:p>
            <w:r>
              <w:rPr>
                <w:b/>
                <w:bCs/>
                <w:color w:val="FFFFFF"/>
                <w:sz w:val="20"/>
                <w:szCs w:val="20"/>
              </w:rPr>
              <w:t xml:space="preserve">Tempoh Anggaran</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Fasa 0</w:t>
            </w:r>
          </w:p>
        </w:tc>
        <w:tc>
          <w:tcPr>
            <w:tcW w:type="dxa" w:w="4200"/>
            <w:tcMar>
              <w:top w:type="dxa" w:w="80"/>
              <w:left w:type="dxa" w:w="100"/>
              <w:bottom w:type="dxa" w:w="80"/>
              <w:right w:type="dxa" w:w="100"/>
            </w:tcMar>
            <w:vAlign w:val="center"/>
          </w:tcPr>
          <w:p>
            <w:r>
              <w:rPr>
                <w:b w:val="false"/>
                <w:bCs w:val="false"/>
                <w:color w:val="000000"/>
                <w:sz w:val="20"/>
                <w:szCs w:val="20"/>
              </w:rPr>
              <w:t xml:space="preserve">Persediaan projek, penetapan seni bina, persediaan data dummy</w:t>
            </w:r>
          </w:p>
        </w:tc>
        <w:tc>
          <w:tcPr>
            <w:tcW w:type="dxa" w:w="2000"/>
            <w:tcMar>
              <w:top w:type="dxa" w:w="80"/>
              <w:left w:type="dxa" w:w="100"/>
              <w:bottom w:type="dxa" w:w="80"/>
              <w:right w:type="dxa" w:w="100"/>
            </w:tcMar>
            <w:vAlign w:val="center"/>
          </w:tcPr>
          <w:p>
            <w:r>
              <w:rPr>
                <w:b w:val="false"/>
                <w:bCs w:val="false"/>
                <w:color w:val="000000"/>
                <w:sz w:val="20"/>
                <w:szCs w:val="20"/>
              </w:rPr>
              <w:t xml:space="preserve">Struktur projek React &amp; skema data JSON</w:t>
            </w:r>
          </w:p>
        </w:tc>
        <w:tc>
          <w:tcPr>
            <w:tcW w:type="dxa" w:w="1480"/>
            <w:tcMar>
              <w:top w:type="dxa" w:w="80"/>
              <w:left w:type="dxa" w:w="100"/>
              <w:bottom w:type="dxa" w:w="80"/>
              <w:right w:type="dxa" w:w="100"/>
            </w:tcMar>
            <w:vAlign w:val="center"/>
          </w:tcPr>
          <w:p>
            <w:r>
              <w:rPr>
                <w:b w:val="false"/>
                <w:bCs w:val="false"/>
                <w:color w:val="000000"/>
                <w:sz w:val="20"/>
                <w:szCs w:val="20"/>
              </w:rPr>
              <w:t xml:space="preserve">1 minggu</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Fasa 1</w:t>
            </w:r>
          </w:p>
        </w:tc>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Pembangunan Modul Papan Pemuka Utama &amp; Perancangan Program</w:t>
            </w:r>
          </w:p>
        </w:tc>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Modul 1 &amp; 2 berfungsi</w:t>
            </w:r>
          </w:p>
        </w:tc>
        <w:tc>
          <w:tcPr>
            <w:tcW w:type="dxa" w:w="1480"/>
            <w:shd w:fill="F2F2F2" w:val="clear"/>
            <w:tcMar>
              <w:top w:type="dxa" w:w="80"/>
              <w:left w:type="dxa" w:w="100"/>
              <w:bottom w:type="dxa" w:w="80"/>
              <w:right w:type="dxa" w:w="100"/>
            </w:tcMar>
            <w:vAlign w:val="center"/>
          </w:tcPr>
          <w:p>
            <w:r>
              <w:rPr>
                <w:b w:val="false"/>
                <w:bCs w:val="false"/>
                <w:color w:val="000000"/>
                <w:sz w:val="20"/>
                <w:szCs w:val="20"/>
              </w:rPr>
              <w:t xml:space="preserve">2 minggu</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Fasa 2</w:t>
            </w:r>
          </w:p>
        </w:tc>
        <w:tc>
          <w:tcPr>
            <w:tcW w:type="dxa" w:w="4200"/>
            <w:tcMar>
              <w:top w:type="dxa" w:w="80"/>
              <w:left w:type="dxa" w:w="100"/>
              <w:bottom w:type="dxa" w:w="80"/>
              <w:right w:type="dxa" w:w="100"/>
            </w:tcMar>
            <w:vAlign w:val="center"/>
          </w:tcPr>
          <w:p>
            <w:r>
              <w:rPr>
                <w:b w:val="false"/>
                <w:bCs w:val="false"/>
                <w:color w:val="000000"/>
                <w:sz w:val="20"/>
                <w:szCs w:val="20"/>
              </w:rPr>
              <w:t xml:space="preserve">Pembangunan Modul Bajet, Pelaksanaan &amp; Pemantauan</w:t>
            </w:r>
          </w:p>
        </w:tc>
        <w:tc>
          <w:tcPr>
            <w:tcW w:type="dxa" w:w="2000"/>
            <w:tcMar>
              <w:top w:type="dxa" w:w="80"/>
              <w:left w:type="dxa" w:w="100"/>
              <w:bottom w:type="dxa" w:w="80"/>
              <w:right w:type="dxa" w:w="100"/>
            </w:tcMar>
            <w:vAlign w:val="center"/>
          </w:tcPr>
          <w:p>
            <w:r>
              <w:rPr>
                <w:b w:val="false"/>
                <w:bCs w:val="false"/>
                <w:color w:val="000000"/>
                <w:sz w:val="20"/>
                <w:szCs w:val="20"/>
              </w:rPr>
              <w:t xml:space="preserve">Modul 3 &amp; 4 berfungsi</w:t>
            </w:r>
          </w:p>
        </w:tc>
        <w:tc>
          <w:tcPr>
            <w:tcW w:type="dxa" w:w="1480"/>
            <w:tcMar>
              <w:top w:type="dxa" w:w="80"/>
              <w:left w:type="dxa" w:w="100"/>
              <w:bottom w:type="dxa" w:w="80"/>
              <w:right w:type="dxa" w:w="100"/>
            </w:tcMar>
            <w:vAlign w:val="center"/>
          </w:tcPr>
          <w:p>
            <w:r>
              <w:rPr>
                <w:b w:val="false"/>
                <w:bCs w:val="false"/>
                <w:color w:val="000000"/>
                <w:sz w:val="20"/>
                <w:szCs w:val="20"/>
              </w:rPr>
              <w:t xml:space="preserve">2 minggu</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Fasa 3</w:t>
            </w:r>
          </w:p>
        </w:tc>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Pembangunan Modul Penilaian &amp; Pelaporan/Analitik</w:t>
            </w:r>
          </w:p>
        </w:tc>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Modul 5 &amp; 6 berfungsi</w:t>
            </w:r>
          </w:p>
        </w:tc>
        <w:tc>
          <w:tcPr>
            <w:tcW w:type="dxa" w:w="1480"/>
            <w:shd w:fill="F2F2F2" w:val="clear"/>
            <w:tcMar>
              <w:top w:type="dxa" w:w="80"/>
              <w:left w:type="dxa" w:w="100"/>
              <w:bottom w:type="dxa" w:w="80"/>
              <w:right w:type="dxa" w:w="100"/>
            </w:tcMar>
            <w:vAlign w:val="center"/>
          </w:tcPr>
          <w:p>
            <w:r>
              <w:rPr>
                <w:b w:val="false"/>
                <w:bCs w:val="false"/>
                <w:color w:val="000000"/>
                <w:sz w:val="20"/>
                <w:szCs w:val="20"/>
              </w:rPr>
              <w:t xml:space="preserve">2 minggu</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Fasa 4</w:t>
            </w:r>
          </w:p>
        </w:tc>
        <w:tc>
          <w:tcPr>
            <w:tcW w:type="dxa" w:w="4200"/>
            <w:tcMar>
              <w:top w:type="dxa" w:w="80"/>
              <w:left w:type="dxa" w:w="100"/>
              <w:bottom w:type="dxa" w:w="80"/>
              <w:right w:type="dxa" w:w="100"/>
            </w:tcMar>
            <w:vAlign w:val="center"/>
          </w:tcPr>
          <w:p>
            <w:r>
              <w:rPr>
                <w:b w:val="false"/>
                <w:bCs w:val="false"/>
                <w:color w:val="000000"/>
                <w:sz w:val="20"/>
                <w:szCs w:val="20"/>
              </w:rPr>
              <w:t xml:space="preserve">Modul Pentadbiran Pengguna, Ujian Menyeluruh (UAT)</w:t>
            </w:r>
          </w:p>
        </w:tc>
        <w:tc>
          <w:tcPr>
            <w:tcW w:type="dxa" w:w="2000"/>
            <w:tcMar>
              <w:top w:type="dxa" w:w="80"/>
              <w:left w:type="dxa" w:w="100"/>
              <w:bottom w:type="dxa" w:w="80"/>
              <w:right w:type="dxa" w:w="100"/>
            </w:tcMar>
            <w:vAlign w:val="center"/>
          </w:tcPr>
          <w:p>
            <w:r>
              <w:rPr>
                <w:b w:val="false"/>
                <w:bCs w:val="false"/>
                <w:color w:val="000000"/>
                <w:sz w:val="20"/>
                <w:szCs w:val="20"/>
              </w:rPr>
              <w:t xml:space="preserve">Sistem MVP lengkap &amp; stabil</w:t>
            </w:r>
          </w:p>
        </w:tc>
        <w:tc>
          <w:tcPr>
            <w:tcW w:type="dxa" w:w="1480"/>
            <w:tcMar>
              <w:top w:type="dxa" w:w="80"/>
              <w:left w:type="dxa" w:w="100"/>
              <w:bottom w:type="dxa" w:w="80"/>
              <w:right w:type="dxa" w:w="100"/>
            </w:tcMar>
            <w:vAlign w:val="center"/>
          </w:tcPr>
          <w:p>
            <w:r>
              <w:rPr>
                <w:b w:val="false"/>
                <w:bCs w:val="false"/>
                <w:color w:val="000000"/>
                <w:sz w:val="20"/>
                <w:szCs w:val="20"/>
              </w:rPr>
              <w:t xml:space="preserve">1 minggu</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Fasa 5</w:t>
            </w:r>
          </w:p>
        </w:tc>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Pembentangan kepada Pengurusan &amp; Pengumpulan Maklum Balas</w:t>
            </w:r>
          </w:p>
        </w:tc>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Laporan penilaian prototaip</w:t>
            </w:r>
          </w:p>
        </w:tc>
        <w:tc>
          <w:tcPr>
            <w:tcW w:type="dxa" w:w="1480"/>
            <w:shd w:fill="F2F2F2" w:val="clear"/>
            <w:tcMar>
              <w:top w:type="dxa" w:w="80"/>
              <w:left w:type="dxa" w:w="100"/>
              <w:bottom w:type="dxa" w:w="80"/>
              <w:right w:type="dxa" w:w="100"/>
            </w:tcMar>
            <w:vAlign w:val="center"/>
          </w:tcPr>
          <w:p>
            <w:r>
              <w:rPr>
                <w:b w:val="false"/>
                <w:bCs w:val="false"/>
                <w:color w:val="000000"/>
                <w:sz w:val="20"/>
                <w:szCs w:val="20"/>
              </w:rPr>
              <w:t xml:space="preserve">1 minggu</w:t>
            </w:r>
          </w:p>
        </w:tc>
      </w:tr>
    </w:tbl>
    <w:p>
      <w:pPr>
        <w:pStyle w:val="Heading1"/>
        <w:pBdr>
          <w:bottom w:val="single" w:color="1F3864" w:sz="8" w:space="4"/>
        </w:pBdr>
        <w:spacing w:after="180" w:before="360"/>
      </w:pPr>
      <w:r>
        <w:rPr>
          <w:b/>
          <w:bCs/>
          <w:color w:val="1F3864"/>
          <w:sz w:val="30"/>
          <w:szCs w:val="30"/>
        </w:rPr>
        <w:t xml:space="preserve">11. METRIK KEJAYAAN (SUCCESS METRICS)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4000"/>
        <w:gridCol w:w="5180"/>
      </w:tblGrid>
      <w:tr>
        <w:tc>
          <w:tcPr>
            <w:tcW w:type="dxa" w:w="4000"/>
            <w:shd w:fill="1F3864" w:val="clear"/>
            <w:tcMar>
              <w:top w:type="dxa" w:w="80"/>
              <w:left w:type="dxa" w:w="100"/>
              <w:bottom w:type="dxa" w:w="80"/>
              <w:right w:type="dxa" w:w="100"/>
            </w:tcMar>
            <w:vAlign w:val="center"/>
          </w:tcPr>
          <w:p>
            <w:r>
              <w:rPr>
                <w:b/>
                <w:bCs/>
                <w:color w:val="FFFFFF"/>
                <w:sz w:val="20"/>
                <w:szCs w:val="20"/>
              </w:rPr>
              <w:t xml:space="preserve">Metrik</w:t>
            </w:r>
          </w:p>
        </w:tc>
        <w:tc>
          <w:tcPr>
            <w:tcW w:type="dxa" w:w="5180"/>
            <w:shd w:fill="1F3864" w:val="clear"/>
            <w:tcMar>
              <w:top w:type="dxa" w:w="80"/>
              <w:left w:type="dxa" w:w="100"/>
              <w:bottom w:type="dxa" w:w="80"/>
              <w:right w:type="dxa" w:w="100"/>
            </w:tcMar>
            <w:vAlign w:val="center"/>
          </w:tcPr>
          <w:p>
            <w:r>
              <w:rPr>
                <w:b/>
                <w:bCs/>
                <w:color w:val="FFFFFF"/>
                <w:sz w:val="20"/>
                <w:szCs w:val="20"/>
              </w:rPr>
              <w:t xml:space="preserve">Sasaran</w:t>
            </w:r>
          </w:p>
        </w:tc>
      </w:tr>
      <w:tr>
        <w:tc>
          <w:tcPr>
            <w:tcW w:type="dxa" w:w="4000"/>
            <w:tcMar>
              <w:top w:type="dxa" w:w="80"/>
              <w:left w:type="dxa" w:w="100"/>
              <w:bottom w:type="dxa" w:w="80"/>
              <w:right w:type="dxa" w:w="100"/>
            </w:tcMar>
            <w:vAlign w:val="center"/>
          </w:tcPr>
          <w:p>
            <w:r>
              <w:rPr>
                <w:b w:val="false"/>
                <w:bCs w:val="false"/>
                <w:color w:val="000000"/>
                <w:sz w:val="20"/>
                <w:szCs w:val="20"/>
              </w:rPr>
              <w:t xml:space="preserve">Kelengkapan modul fungsian mengikut skop</w:t>
            </w:r>
          </w:p>
        </w:tc>
        <w:tc>
          <w:tcPr>
            <w:tcW w:type="dxa" w:w="5180"/>
            <w:tcMar>
              <w:top w:type="dxa" w:w="80"/>
              <w:left w:type="dxa" w:w="100"/>
              <w:bottom w:type="dxa" w:w="80"/>
              <w:right w:type="dxa" w:w="100"/>
            </w:tcMar>
            <w:vAlign w:val="center"/>
          </w:tcPr>
          <w:p>
            <w:r>
              <w:rPr>
                <w:b w:val="false"/>
                <w:bCs w:val="false"/>
                <w:color w:val="000000"/>
                <w:sz w:val="20"/>
                <w:szCs w:val="20"/>
              </w:rPr>
              <w:t xml:space="preserve">100% modul dalam skop berfungsi (Fasa 1)</w:t>
            </w:r>
          </w:p>
        </w:tc>
      </w:tr>
      <w:tr>
        <w:tc>
          <w:tcPr>
            <w:tcW w:type="dxa" w:w="4000"/>
            <w:shd w:fill="F2F2F2" w:val="clear"/>
            <w:tcMar>
              <w:top w:type="dxa" w:w="80"/>
              <w:left w:type="dxa" w:w="100"/>
              <w:bottom w:type="dxa" w:w="80"/>
              <w:right w:type="dxa" w:w="100"/>
            </w:tcMar>
            <w:vAlign w:val="center"/>
          </w:tcPr>
          <w:p>
            <w:r>
              <w:rPr>
                <w:b w:val="false"/>
                <w:bCs w:val="false"/>
                <w:color w:val="000000"/>
                <w:sz w:val="20"/>
                <w:szCs w:val="20"/>
              </w:rPr>
              <w:t xml:space="preserve">Masa muat papan pemuka (dummy data)</w:t>
            </w:r>
          </w:p>
        </w:tc>
        <w:tc>
          <w:tcPr>
            <w:tcW w:type="dxa" w:w="5180"/>
            <w:shd w:fill="F2F2F2" w:val="clear"/>
            <w:tcMar>
              <w:top w:type="dxa" w:w="80"/>
              <w:left w:type="dxa" w:w="100"/>
              <w:bottom w:type="dxa" w:w="80"/>
              <w:right w:type="dxa" w:w="100"/>
            </w:tcMar>
            <w:vAlign w:val="center"/>
          </w:tcPr>
          <w:p>
            <w:r>
              <w:rPr>
                <w:b w:val="false"/>
                <w:bCs w:val="false"/>
                <w:color w:val="000000"/>
                <w:sz w:val="20"/>
                <w:szCs w:val="20"/>
              </w:rPr>
              <w:t xml:space="preserve">≤ 3 saat</w:t>
            </w:r>
          </w:p>
        </w:tc>
      </w:tr>
      <w:tr>
        <w:tc>
          <w:tcPr>
            <w:tcW w:type="dxa" w:w="4000"/>
            <w:tcMar>
              <w:top w:type="dxa" w:w="80"/>
              <w:left w:type="dxa" w:w="100"/>
              <w:bottom w:type="dxa" w:w="80"/>
              <w:right w:type="dxa" w:w="100"/>
            </w:tcMar>
            <w:vAlign w:val="center"/>
          </w:tcPr>
          <w:p>
            <w:r>
              <w:rPr>
                <w:b w:val="false"/>
                <w:bCs w:val="false"/>
                <w:color w:val="000000"/>
                <w:sz w:val="20"/>
                <w:szCs w:val="20"/>
              </w:rPr>
              <w:t xml:space="preserve">Penerimaan pengguna semasa UAT (User Acceptance Testing)</w:t>
            </w:r>
          </w:p>
        </w:tc>
        <w:tc>
          <w:tcPr>
            <w:tcW w:type="dxa" w:w="5180"/>
            <w:tcMar>
              <w:top w:type="dxa" w:w="80"/>
              <w:left w:type="dxa" w:w="100"/>
              <w:bottom w:type="dxa" w:w="80"/>
              <w:right w:type="dxa" w:w="100"/>
            </w:tcMar>
            <w:vAlign w:val="center"/>
          </w:tcPr>
          <w:p>
            <w:r>
              <w:rPr>
                <w:b w:val="false"/>
                <w:bCs w:val="false"/>
                <w:color w:val="000000"/>
                <w:sz w:val="20"/>
                <w:szCs w:val="20"/>
              </w:rPr>
              <w:t xml:space="preserve">≥ 80% maklum balas positif daripada pengguna ujian</w:t>
            </w:r>
          </w:p>
        </w:tc>
      </w:tr>
      <w:tr>
        <w:tc>
          <w:tcPr>
            <w:tcW w:type="dxa" w:w="4000"/>
            <w:shd w:fill="F2F2F2" w:val="clear"/>
            <w:tcMar>
              <w:top w:type="dxa" w:w="80"/>
              <w:left w:type="dxa" w:w="100"/>
              <w:bottom w:type="dxa" w:w="80"/>
              <w:right w:type="dxa" w:w="100"/>
            </w:tcMar>
            <w:vAlign w:val="center"/>
          </w:tcPr>
          <w:p>
            <w:r>
              <w:rPr>
                <w:b w:val="false"/>
                <w:bCs w:val="false"/>
                <w:color w:val="000000"/>
                <w:sz w:val="20"/>
                <w:szCs w:val="20"/>
              </w:rPr>
              <w:t xml:space="preserve">Ketepatan paparan data berbanding data dummy sumber</w:t>
            </w:r>
          </w:p>
        </w:tc>
        <w:tc>
          <w:tcPr>
            <w:tcW w:type="dxa" w:w="5180"/>
            <w:shd w:fill="F2F2F2" w:val="clear"/>
            <w:tcMar>
              <w:top w:type="dxa" w:w="80"/>
              <w:left w:type="dxa" w:w="100"/>
              <w:bottom w:type="dxa" w:w="80"/>
              <w:right w:type="dxa" w:w="100"/>
            </w:tcMar>
            <w:vAlign w:val="center"/>
          </w:tcPr>
          <w:p>
            <w:r>
              <w:rPr>
                <w:b w:val="false"/>
                <w:bCs w:val="false"/>
                <w:color w:val="000000"/>
                <w:sz w:val="20"/>
                <w:szCs w:val="20"/>
              </w:rPr>
              <w:t xml:space="preserve">100% (tiada percanggahan data)</w:t>
            </w:r>
          </w:p>
        </w:tc>
      </w:tr>
      <w:tr>
        <w:tc>
          <w:tcPr>
            <w:tcW w:type="dxa" w:w="4000"/>
            <w:tcMar>
              <w:top w:type="dxa" w:w="80"/>
              <w:left w:type="dxa" w:w="100"/>
              <w:bottom w:type="dxa" w:w="80"/>
              <w:right w:type="dxa" w:w="100"/>
            </w:tcMar>
            <w:vAlign w:val="center"/>
          </w:tcPr>
          <w:p>
            <w:r>
              <w:rPr>
                <w:b w:val="false"/>
                <w:bCs w:val="false"/>
                <w:color w:val="000000"/>
                <w:sz w:val="20"/>
                <w:szCs w:val="20"/>
              </w:rPr>
              <w:t xml:space="preserve">Kesediaan sistem untuk integrasi pangkalan data sebenar</w:t>
            </w:r>
          </w:p>
        </w:tc>
        <w:tc>
          <w:tcPr>
            <w:tcW w:type="dxa" w:w="5180"/>
            <w:tcMar>
              <w:top w:type="dxa" w:w="80"/>
              <w:left w:type="dxa" w:w="100"/>
              <w:bottom w:type="dxa" w:w="80"/>
              <w:right w:type="dxa" w:w="100"/>
            </w:tcMar>
            <w:vAlign w:val="center"/>
          </w:tcPr>
          <w:p>
            <w:r>
              <w:rPr>
                <w:b w:val="false"/>
                <w:bCs w:val="false"/>
                <w:color w:val="000000"/>
                <w:sz w:val="20"/>
                <w:szCs w:val="20"/>
              </w:rPr>
              <w:t xml:space="preserve">Seni bina modular disahkan oleh pasukan teknikal</w:t>
            </w:r>
          </w:p>
        </w:tc>
      </w:tr>
      <w:tr>
        <w:tc>
          <w:tcPr>
            <w:tcW w:type="dxa" w:w="4000"/>
            <w:shd w:fill="F2F2F2" w:val="clear"/>
            <w:tcMar>
              <w:top w:type="dxa" w:w="80"/>
              <w:left w:type="dxa" w:w="100"/>
              <w:bottom w:type="dxa" w:w="80"/>
              <w:right w:type="dxa" w:w="100"/>
            </w:tcMar>
            <w:vAlign w:val="center"/>
          </w:tcPr>
          <w:p>
            <w:r>
              <w:rPr>
                <w:b w:val="false"/>
                <w:bCs w:val="false"/>
                <w:color w:val="000000"/>
                <w:sz w:val="20"/>
                <w:szCs w:val="20"/>
              </w:rPr>
              <w:t xml:space="preserve">Ketepatan pengiraan baki peruntukan OE (siling − dibelanjakan − komited)</w:t>
            </w:r>
          </w:p>
        </w:tc>
        <w:tc>
          <w:tcPr>
            <w:tcW w:type="dxa" w:w="5180"/>
            <w:shd w:fill="F2F2F2" w:val="clear"/>
            <w:tcMar>
              <w:top w:type="dxa" w:w="80"/>
              <w:left w:type="dxa" w:w="100"/>
              <w:bottom w:type="dxa" w:w="80"/>
              <w:right w:type="dxa" w:w="100"/>
            </w:tcMar>
            <w:vAlign w:val="center"/>
          </w:tcPr>
          <w:p>
            <w:r>
              <w:rPr>
                <w:b w:val="false"/>
                <w:bCs w:val="false"/>
                <w:color w:val="000000"/>
                <w:sz w:val="20"/>
                <w:szCs w:val="20"/>
              </w:rPr>
              <w:t xml:space="preserve">100% padanan dengan pengiraan manual/kajian kes ujian</w:t>
            </w:r>
          </w:p>
        </w:tc>
      </w:tr>
      <w:tr>
        <w:tc>
          <w:tcPr>
            <w:tcW w:type="dxa" w:w="4000"/>
            <w:tcMar>
              <w:top w:type="dxa" w:w="80"/>
              <w:left w:type="dxa" w:w="100"/>
              <w:bottom w:type="dxa" w:w="80"/>
              <w:right w:type="dxa" w:w="100"/>
            </w:tcMar>
            <w:vAlign w:val="center"/>
          </w:tcPr>
          <w:p>
            <w:r>
              <w:rPr>
                <w:b w:val="false"/>
                <w:bCs w:val="false"/>
                <w:color w:val="000000"/>
                <w:sz w:val="20"/>
                <w:szCs w:val="20"/>
              </w:rPr>
              <w:t xml:space="preserve">Kesediaan format laporan prestasi perbelanjaan OE berbanding format rujukan MOF</w:t>
            </w:r>
          </w:p>
        </w:tc>
        <w:tc>
          <w:tcPr>
            <w:tcW w:type="dxa" w:w="5180"/>
            <w:tcMar>
              <w:top w:type="dxa" w:w="80"/>
              <w:left w:type="dxa" w:w="100"/>
              <w:bottom w:type="dxa" w:w="80"/>
              <w:right w:type="dxa" w:w="100"/>
            </w:tcMar>
            <w:vAlign w:val="center"/>
          </w:tcPr>
          <w:p>
            <w:r>
              <w:rPr>
                <w:b w:val="false"/>
                <w:bCs w:val="false"/>
                <w:color w:val="000000"/>
                <w:sz w:val="20"/>
                <w:szCs w:val="20"/>
              </w:rPr>
              <w:t xml:space="preserve">Disahkan oleh Bahagian Kewangan KPKT semasa UAT</w:t>
            </w:r>
          </w:p>
        </w:tc>
      </w:tr>
    </w:tbl>
    <w:p>
      <w:pPr>
        <w:pStyle w:val="Heading1"/>
        <w:pBdr>
          <w:bottom w:val="single" w:color="1F3864" w:sz="8" w:space="4"/>
        </w:pBdr>
        <w:spacing w:after="180" w:before="360"/>
      </w:pPr>
      <w:r>
        <w:rPr>
          <w:b/>
          <w:bCs/>
          <w:color w:val="1F3864"/>
          <w:sz w:val="30"/>
          <w:szCs w:val="30"/>
        </w:rPr>
        <w:t xml:space="preserve">12. RISIKO DAN MITIGASI</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000"/>
        <w:gridCol w:w="3080"/>
        <w:gridCol w:w="3100"/>
      </w:tblGrid>
      <w:tr>
        <w:tc>
          <w:tcPr>
            <w:tcW w:type="dxa" w:w="3000"/>
            <w:shd w:fill="1F3864" w:val="clear"/>
            <w:tcMar>
              <w:top w:type="dxa" w:w="80"/>
              <w:left w:type="dxa" w:w="100"/>
              <w:bottom w:type="dxa" w:w="80"/>
              <w:right w:type="dxa" w:w="100"/>
            </w:tcMar>
            <w:vAlign w:val="center"/>
          </w:tcPr>
          <w:p>
            <w:r>
              <w:rPr>
                <w:b/>
                <w:bCs/>
                <w:color w:val="FFFFFF"/>
                <w:sz w:val="20"/>
                <w:szCs w:val="20"/>
              </w:rPr>
              <w:t xml:space="preserve">Risiko</w:t>
            </w:r>
          </w:p>
        </w:tc>
        <w:tc>
          <w:tcPr>
            <w:tcW w:type="dxa" w:w="3080"/>
            <w:shd w:fill="1F3864" w:val="clear"/>
            <w:tcMar>
              <w:top w:type="dxa" w:w="80"/>
              <w:left w:type="dxa" w:w="100"/>
              <w:bottom w:type="dxa" w:w="80"/>
              <w:right w:type="dxa" w:w="100"/>
            </w:tcMar>
            <w:vAlign w:val="center"/>
          </w:tcPr>
          <w:p>
            <w:r>
              <w:rPr>
                <w:b/>
                <w:bCs/>
                <w:color w:val="FFFFFF"/>
                <w:sz w:val="20"/>
                <w:szCs w:val="20"/>
              </w:rPr>
              <w:t xml:space="preserve">Kesan</w:t>
            </w:r>
          </w:p>
        </w:tc>
        <w:tc>
          <w:tcPr>
            <w:tcW w:type="dxa" w:w="3100"/>
            <w:shd w:fill="1F3864" w:val="clear"/>
            <w:tcMar>
              <w:top w:type="dxa" w:w="80"/>
              <w:left w:type="dxa" w:w="100"/>
              <w:bottom w:type="dxa" w:w="80"/>
              <w:right w:type="dxa" w:w="100"/>
            </w:tcMar>
            <w:vAlign w:val="center"/>
          </w:tcPr>
          <w:p>
            <w:r>
              <w:rPr>
                <w:b/>
                <w:bCs/>
                <w:color w:val="FFFFFF"/>
                <w:sz w:val="20"/>
                <w:szCs w:val="20"/>
              </w:rPr>
              <w:t xml:space="preserve">Langkah Mitigasi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Kekurangan kejelasan keperluan data sebenar daripada bahagian program KPKT</w:t>
            </w:r>
          </w:p>
        </w:tc>
        <w:tc>
          <w:tcPr>
            <w:tcW w:type="dxa" w:w="3080"/>
            <w:tcMar>
              <w:top w:type="dxa" w:w="80"/>
              <w:left w:type="dxa" w:w="100"/>
              <w:bottom w:type="dxa" w:w="80"/>
              <w:right w:type="dxa" w:w="100"/>
            </w:tcMar>
            <w:vAlign w:val="center"/>
          </w:tcPr>
          <w:p>
            <w:r>
              <w:rPr>
                <w:b w:val="false"/>
                <w:bCs w:val="false"/>
                <w:color w:val="000000"/>
                <w:sz w:val="20"/>
                <w:szCs w:val="20"/>
              </w:rPr>
              <w:t xml:space="preserve">Struktur data dummy tidak menepati keperluan sebenar</w:t>
            </w:r>
          </w:p>
        </w:tc>
        <w:tc>
          <w:tcPr>
            <w:tcW w:type="dxa" w:w="3100"/>
            <w:tcMar>
              <w:top w:type="dxa" w:w="80"/>
              <w:left w:type="dxa" w:w="100"/>
              <w:bottom w:type="dxa" w:w="80"/>
              <w:right w:type="dxa" w:w="100"/>
            </w:tcMar>
            <w:vAlign w:val="center"/>
          </w:tcPr>
          <w:p>
            <w:r>
              <w:rPr>
                <w:b w:val="false"/>
                <w:bCs w:val="false"/>
                <w:color w:val="000000"/>
                <w:sz w:val="20"/>
                <w:szCs w:val="20"/>
              </w:rPr>
              <w:t xml:space="preserve">Adakan sesi bengkel keperluan (requirement workshop) bersama pemilik proses program sebelum reka bentuk skema data</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Pergantungan berlebihan kepada output AI (GLM 5.2) tanpa semakan</w:t>
            </w:r>
          </w:p>
        </w:tc>
        <w:tc>
          <w:tcPr>
            <w:tcW w:type="dxa" w:w="3080"/>
            <w:shd w:fill="F2F2F2" w:val="clear"/>
            <w:tcMar>
              <w:top w:type="dxa" w:w="80"/>
              <w:left w:type="dxa" w:w="100"/>
              <w:bottom w:type="dxa" w:w="80"/>
              <w:right w:type="dxa" w:w="100"/>
            </w:tcMar>
            <w:vAlign w:val="center"/>
          </w:tcPr>
          <w:p>
            <w:r>
              <w:rPr>
                <w:b w:val="false"/>
                <w:bCs w:val="false"/>
                <w:color w:val="000000"/>
                <w:sz w:val="20"/>
                <w:szCs w:val="20"/>
              </w:rPr>
              <w:t xml:space="preserve">Kod yang dijana mungkin mengandungi ralat logik atau tidak selari dengan piawaian KPKT</w:t>
            </w:r>
          </w:p>
        </w:tc>
        <w:tc>
          <w:tcPr>
            <w:tcW w:type="dxa" w:w="3100"/>
            <w:shd w:fill="F2F2F2" w:val="clear"/>
            <w:tcMar>
              <w:top w:type="dxa" w:w="80"/>
              <w:left w:type="dxa" w:w="100"/>
              <w:bottom w:type="dxa" w:w="80"/>
              <w:right w:type="dxa" w:w="100"/>
            </w:tcMar>
            <w:vAlign w:val="center"/>
          </w:tcPr>
          <w:p>
            <w:r>
              <w:rPr>
                <w:b w:val="false"/>
                <w:bCs w:val="false"/>
                <w:color w:val="000000"/>
                <w:sz w:val="20"/>
                <w:szCs w:val="20"/>
              </w:rPr>
              <w:t xml:space="preserve">Semua kod yang dijana AI mesti disemak dan diuji oleh jurutera perisian sebelum digabungkan (code review mandatori)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Peralihan daripada data dummy kepada pangkalan data sebenar tidak lancar</w:t>
            </w:r>
          </w:p>
        </w:tc>
        <w:tc>
          <w:tcPr>
            <w:tcW w:type="dxa" w:w="3080"/>
            <w:tcMar>
              <w:top w:type="dxa" w:w="80"/>
              <w:left w:type="dxa" w:w="100"/>
              <w:bottom w:type="dxa" w:w="80"/>
              <w:right w:type="dxa" w:w="100"/>
            </w:tcMar>
            <w:vAlign w:val="center"/>
          </w:tcPr>
          <w:p>
            <w:r>
              <w:rPr>
                <w:b w:val="false"/>
                <w:bCs w:val="false"/>
                <w:color w:val="000000"/>
                <w:sz w:val="20"/>
                <w:szCs w:val="20"/>
              </w:rPr>
              <w:t xml:space="preserve">Kelewatan Fasa 2 (integrasi sistem sebenar)</w:t>
            </w:r>
          </w:p>
        </w:tc>
        <w:tc>
          <w:tcPr>
            <w:tcW w:type="dxa" w:w="3100"/>
            <w:tcMar>
              <w:top w:type="dxa" w:w="80"/>
              <w:left w:type="dxa" w:w="100"/>
              <w:bottom w:type="dxa" w:w="80"/>
              <w:right w:type="dxa" w:w="100"/>
            </w:tcMar>
            <w:vAlign w:val="center"/>
          </w:tcPr>
          <w:p>
            <w:r>
              <w:rPr>
                <w:b w:val="false"/>
                <w:bCs w:val="false"/>
                <w:color w:val="000000"/>
                <w:sz w:val="20"/>
                <w:szCs w:val="20"/>
              </w:rPr>
              <w:t xml:space="preserve">Reka bentuk lapisan perkhidmatan data (data service layer) yang modular supaya mudah ditukar sumber data</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Skop merangkak (scope creep) daripada pihak berkepentingan</w:t>
            </w:r>
          </w:p>
        </w:tc>
        <w:tc>
          <w:tcPr>
            <w:tcW w:type="dxa" w:w="3080"/>
            <w:shd w:fill="F2F2F2" w:val="clear"/>
            <w:tcMar>
              <w:top w:type="dxa" w:w="80"/>
              <w:left w:type="dxa" w:w="100"/>
              <w:bottom w:type="dxa" w:w="80"/>
              <w:right w:type="dxa" w:w="100"/>
            </w:tcMar>
            <w:vAlign w:val="center"/>
          </w:tcPr>
          <w:p>
            <w:r>
              <w:rPr>
                <w:b w:val="false"/>
                <w:bCs w:val="false"/>
                <w:color w:val="000000"/>
                <w:sz w:val="20"/>
                <w:szCs w:val="20"/>
              </w:rPr>
              <w:t xml:space="preserve">Kelewatan penghantaran MVP</w:t>
            </w:r>
          </w:p>
        </w:tc>
        <w:tc>
          <w:tcPr>
            <w:tcW w:type="dxa" w:w="3100"/>
            <w:shd w:fill="F2F2F2" w:val="clear"/>
            <w:tcMar>
              <w:top w:type="dxa" w:w="80"/>
              <w:left w:type="dxa" w:w="100"/>
              <w:bottom w:type="dxa" w:w="80"/>
              <w:right w:type="dxa" w:w="100"/>
            </w:tcMar>
            <w:vAlign w:val="center"/>
          </w:tcPr>
          <w:p>
            <w:r>
              <w:rPr>
                <w:b w:val="false"/>
                <w:bCs w:val="false"/>
                <w:color w:val="000000"/>
                <w:sz w:val="20"/>
                <w:szCs w:val="20"/>
              </w:rPr>
              <w:t xml:space="preserve">Kawalan perubahan skop melalui proses kelulusan formal (change request)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Capaian data peruntukan OE sebenar daripada MOF/iGFMAS sukar diperoleh disebabkan kawalan keselamatan kewangan Kerajaan</w:t>
            </w:r>
          </w:p>
        </w:tc>
        <w:tc>
          <w:tcPr>
            <w:tcW w:type="dxa" w:w="3080"/>
            <w:tcMar>
              <w:top w:type="dxa" w:w="80"/>
              <w:left w:type="dxa" w:w="100"/>
              <w:bottom w:type="dxa" w:w="80"/>
              <w:right w:type="dxa" w:w="100"/>
            </w:tcMar>
            <w:vAlign w:val="center"/>
          </w:tcPr>
          <w:p>
            <w:r>
              <w:rPr>
                <w:b w:val="false"/>
                <w:bCs w:val="false"/>
                <w:color w:val="000000"/>
                <w:sz w:val="20"/>
                <w:szCs w:val="20"/>
              </w:rPr>
              <w:t xml:space="preserve">Sub-modul Pemantauan Peruntukan OE kekal bergantung kepada data dummy lebih lama daripada dijadualkan</w:t>
            </w:r>
          </w:p>
        </w:tc>
        <w:tc>
          <w:tcPr>
            <w:tcW w:type="dxa" w:w="3100"/>
            <w:tcMar>
              <w:top w:type="dxa" w:w="80"/>
              <w:left w:type="dxa" w:w="100"/>
              <w:bottom w:type="dxa" w:w="80"/>
              <w:right w:type="dxa" w:w="100"/>
            </w:tcMar>
            <w:vAlign w:val="center"/>
          </w:tcPr>
          <w:p>
            <w:r>
              <w:rPr>
                <w:b w:val="false"/>
                <w:bCs w:val="false"/>
                <w:color w:val="000000"/>
                <w:sz w:val="20"/>
                <w:szCs w:val="20"/>
              </w:rPr>
              <w:t xml:space="preserve">Libatkan Bahagian Kewangan KPKT sejak awal untuk memohon capaian rasmi mengikut prosedur kelulusan data kewangan Kerajaan; reka bentuk data dummy seselari mungkin dengan format sebenar bagi memudahkan peralihan</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Data peruntukan OE yang dipaparkan tidak dikemas kini tepat pada masanya oleh pengguna</w:t>
            </w:r>
          </w:p>
        </w:tc>
        <w:tc>
          <w:tcPr>
            <w:tcW w:type="dxa" w:w="3080"/>
            <w:shd w:fill="F2F2F2" w:val="clear"/>
            <w:tcMar>
              <w:top w:type="dxa" w:w="80"/>
              <w:left w:type="dxa" w:w="100"/>
              <w:bottom w:type="dxa" w:w="80"/>
              <w:right w:type="dxa" w:w="100"/>
            </w:tcMar>
            <w:vAlign w:val="center"/>
          </w:tcPr>
          <w:p>
            <w:r>
              <w:rPr>
                <w:b w:val="false"/>
                <w:bCs w:val="false"/>
                <w:color w:val="000000"/>
                <w:sz w:val="20"/>
                <w:szCs w:val="20"/>
              </w:rPr>
              <w:t xml:space="preserve">Penunjuk baki peruntukan/status tidak mencerminkan kedudukan kewangan sebenar</w:t>
            </w:r>
          </w:p>
        </w:tc>
        <w:tc>
          <w:tcPr>
            <w:tcW w:type="dxa" w:w="3100"/>
            <w:shd w:fill="F2F2F2" w:val="clear"/>
            <w:tcMar>
              <w:top w:type="dxa" w:w="80"/>
              <w:left w:type="dxa" w:w="100"/>
              <w:bottom w:type="dxa" w:w="80"/>
              <w:right w:type="dxa" w:w="100"/>
            </w:tcMar>
            <w:vAlign w:val="center"/>
          </w:tcPr>
          <w:p>
            <w:r>
              <w:rPr>
                <w:b w:val="false"/>
                <w:bCs w:val="false"/>
                <w:color w:val="000000"/>
                <w:sz w:val="20"/>
                <w:szCs w:val="20"/>
              </w:rPr>
              <w:t xml:space="preserve">Tetapkan keperluan kemas kini bulanan wajib dan hantar peringatan automatik kepada pemilik data peruntukan</w:t>
            </w:r>
          </w:p>
        </w:tc>
      </w:tr>
    </w:tbl>
    <w:p>
      <w:pPr>
        <w:pStyle w:val="Heading1"/>
        <w:pBdr>
          <w:bottom w:val="single" w:color="1F3864" w:sz="8" w:space="4"/>
        </w:pBdr>
        <w:spacing w:after="180" w:before="360"/>
      </w:pPr>
      <w:r>
        <w:rPr>
          <w:b/>
          <w:bCs/>
          <w:color w:val="1F3864"/>
          <w:sz w:val="30"/>
          <w:szCs w:val="30"/>
        </w:rPr>
        <w:t xml:space="preserve">13. KELULUSAN DAN PENGESAHAN</w:t>
      </w:r>
    </w:p>
    <w:p>
      <w:pPr>
        <w:spacing w:after="160" w:line="276"/>
        <w:jc w:val="both"/>
      </w:pPr>
      <w:r>
        <w:rPr>
          <w:sz w:val="22"/>
          <w:szCs w:val="22"/>
        </w:rPr>
        <w:t xml:space="preserve">Dokumen ini memerlukan pengesahan dan kelulusan daripada pihak berkepentingan berikut sebelum fasa pembangunan bermula:</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1700"/>
        <w:gridCol w:w="1580"/>
      </w:tblGrid>
      <w:tr>
        <w:tc>
          <w:tcPr>
            <w:tcW w:type="dxa" w:w="2500"/>
            <w:shd w:fill="1F3864" w:val="clear"/>
            <w:tcMar>
              <w:top w:type="dxa" w:w="80"/>
              <w:left w:type="dxa" w:w="100"/>
              <w:bottom w:type="dxa" w:w="80"/>
              <w:right w:type="dxa" w:w="100"/>
            </w:tcMar>
            <w:vAlign w:val="center"/>
          </w:tcPr>
          <w:p>
            <w:r>
              <w:rPr>
                <w:b/>
                <w:bCs/>
                <w:color w:val="FFFFFF"/>
                <w:sz w:val="20"/>
                <w:szCs w:val="20"/>
              </w:rPr>
              <w:t xml:space="preserve">Nama</w:t>
            </w:r>
          </w:p>
        </w:tc>
        <w:tc>
          <w:tcPr>
            <w:tcW w:type="dxa" w:w="2900"/>
            <w:shd w:fill="1F3864" w:val="clear"/>
            <w:tcMar>
              <w:top w:type="dxa" w:w="80"/>
              <w:left w:type="dxa" w:w="100"/>
              <w:bottom w:type="dxa" w:w="80"/>
              <w:right w:type="dxa" w:w="100"/>
            </w:tcMar>
            <w:vAlign w:val="center"/>
          </w:tcPr>
          <w:p>
            <w:r>
              <w:rPr>
                <w:b/>
                <w:bCs/>
                <w:color w:val="FFFFFF"/>
                <w:sz w:val="20"/>
                <w:szCs w:val="20"/>
              </w:rPr>
              <w:t xml:space="preserve">Jawatan/Peranan</w:t>
            </w:r>
          </w:p>
        </w:tc>
        <w:tc>
          <w:tcPr>
            <w:tcW w:type="dxa" w:w="1700"/>
            <w:shd w:fill="1F3864" w:val="clear"/>
            <w:tcMar>
              <w:top w:type="dxa" w:w="80"/>
              <w:left w:type="dxa" w:w="100"/>
              <w:bottom w:type="dxa" w:w="80"/>
              <w:right w:type="dxa" w:w="100"/>
            </w:tcMar>
            <w:vAlign w:val="center"/>
          </w:tcPr>
          <w:p>
            <w:r>
              <w:rPr>
                <w:b/>
                <w:bCs/>
                <w:color w:val="FFFFFF"/>
                <w:sz w:val="20"/>
                <w:szCs w:val="20"/>
              </w:rPr>
              <w:t xml:space="preserve">Tandatangan</w:t>
            </w:r>
          </w:p>
        </w:tc>
        <w:tc>
          <w:tcPr>
            <w:tcW w:type="dxa" w:w="1580"/>
            <w:shd w:fill="1F3864" w:val="clear"/>
            <w:tcMar>
              <w:top w:type="dxa" w:w="80"/>
              <w:left w:type="dxa" w:w="100"/>
              <w:bottom w:type="dxa" w:w="80"/>
              <w:right w:type="dxa" w:w="100"/>
            </w:tcMar>
            <w:vAlign w:val="center"/>
          </w:tcPr>
          <w:p>
            <w:r>
              <w:rPr>
                <w:b/>
                <w:bCs/>
                <w:color w:val="FFFFFF"/>
                <w:sz w:val="20"/>
                <w:szCs w:val="20"/>
              </w:rPr>
              <w:t xml:space="preserve">Tarikh</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
            </w:r>
          </w:p>
        </w:tc>
        <w:tc>
          <w:tcPr>
            <w:tcW w:type="dxa" w:w="2900"/>
            <w:tcMar>
              <w:top w:type="dxa" w:w="80"/>
              <w:left w:type="dxa" w:w="100"/>
              <w:bottom w:type="dxa" w:w="80"/>
              <w:right w:type="dxa" w:w="100"/>
            </w:tcMar>
            <w:vAlign w:val="center"/>
          </w:tcPr>
          <w:p>
            <w:r>
              <w:rPr>
                <w:b w:val="false"/>
                <w:bCs w:val="false"/>
                <w:color w:val="000000"/>
                <w:sz w:val="20"/>
                <w:szCs w:val="20"/>
              </w:rPr>
              <w:t xml:space="preserve">Pengarah Bahagian Perancangan Strategik &amp; Digital</w:t>
            </w:r>
          </w:p>
        </w:tc>
        <w:tc>
          <w:tcPr>
            <w:tcW w:type="dxa" w:w="1700"/>
            <w:tcMar>
              <w:top w:type="dxa" w:w="80"/>
              <w:left w:type="dxa" w:w="100"/>
              <w:bottom w:type="dxa" w:w="80"/>
              <w:right w:type="dxa" w:w="100"/>
            </w:tcMar>
            <w:vAlign w:val="center"/>
          </w:tcPr>
          <w:p>
            <w:r>
              <w:rPr>
                <w:b w:val="false"/>
                <w:bCs w:val="false"/>
                <w:color w:val="000000"/>
                <w:sz w:val="20"/>
                <w:szCs w:val="20"/>
              </w:rPr>
              <w:t xml:space="preserve"/>
            </w:r>
          </w:p>
        </w:tc>
        <w:tc>
          <w:tcPr>
            <w:tcW w:type="dxa" w:w="1580"/>
            <w:tcMar>
              <w:top w:type="dxa" w:w="80"/>
              <w:left w:type="dxa" w:w="100"/>
              <w:bottom w:type="dxa" w:w="80"/>
              <w:right w:type="dxa" w:w="100"/>
            </w:tcMar>
            <w:vAlign w:val="center"/>
          </w:tcPr>
          <w:p>
            <w:r>
              <w:rPr>
                <w:b w:val="false"/>
                <w:bCs w:val="false"/>
                <w:color w:val="000000"/>
                <w:sz w:val="20"/>
                <w:szCs w:val="20"/>
              </w:rPr>
              <w:t xml:space="preserve"/>
            </w:r>
          </w:p>
        </w:tc>
      </w:tr>
      <w:tr>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
            </w:r>
          </w:p>
        </w:tc>
        <w:tc>
          <w:tcPr>
            <w:tcW w:type="dxa" w:w="2900"/>
            <w:shd w:fill="F2F2F2" w:val="clear"/>
            <w:tcMar>
              <w:top w:type="dxa" w:w="80"/>
              <w:left w:type="dxa" w:w="100"/>
              <w:bottom w:type="dxa" w:w="80"/>
              <w:right w:type="dxa" w:w="100"/>
            </w:tcMar>
            <w:vAlign w:val="center"/>
          </w:tcPr>
          <w:p>
            <w:r>
              <w:rPr>
                <w:b w:val="false"/>
                <w:bCs w:val="false"/>
                <w:color w:val="000000"/>
                <w:sz w:val="20"/>
                <w:szCs w:val="20"/>
              </w:rPr>
              <w:t xml:space="preserve">Ketua Pasukan Pembangunan Sistem</w:t>
            </w:r>
          </w:p>
        </w:tc>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
            </w:r>
          </w:p>
        </w:tc>
        <w:tc>
          <w:tcPr>
            <w:tcW w:type="dxa" w:w="1580"/>
            <w:shd w:fill="F2F2F2" w:val="clear"/>
            <w:tcMar>
              <w:top w:type="dxa" w:w="80"/>
              <w:left w:type="dxa" w:w="100"/>
              <w:bottom w:type="dxa" w:w="80"/>
              <w:right w:type="dxa" w:w="100"/>
            </w:tcMar>
            <w:vAlign w:val="center"/>
          </w:tcPr>
          <w:p>
            <w:r>
              <w:rPr>
                <w:b w:val="false"/>
                <w:bCs w:val="false"/>
                <w:color w:val="000000"/>
                <w:sz w:val="20"/>
                <w:szCs w:val="20"/>
              </w:rPr>
              <w:t xml:space="preserve"/>
            </w:r>
          </w:p>
        </w:tc>
      </w:tr>
      <w:tr>
        <w:tc>
          <w:tcPr>
            <w:tcW w:type="dxa" w:w="2500"/>
            <w:tcMar>
              <w:top w:type="dxa" w:w="80"/>
              <w:left w:type="dxa" w:w="100"/>
              <w:bottom w:type="dxa" w:w="80"/>
              <w:right w:type="dxa" w:w="100"/>
            </w:tcMar>
            <w:vAlign w:val="center"/>
          </w:tcPr>
          <w:p>
            <w:r>
              <w:rPr>
                <w:b w:val="false"/>
                <w:bCs w:val="false"/>
                <w:color w:val="000000"/>
                <w:sz w:val="20"/>
                <w:szCs w:val="20"/>
              </w:rPr>
              <w:t xml:space="preserve"/>
            </w:r>
          </w:p>
        </w:tc>
        <w:tc>
          <w:tcPr>
            <w:tcW w:type="dxa" w:w="2900"/>
            <w:tcMar>
              <w:top w:type="dxa" w:w="80"/>
              <w:left w:type="dxa" w:w="100"/>
              <w:bottom w:type="dxa" w:w="80"/>
              <w:right w:type="dxa" w:w="100"/>
            </w:tcMar>
            <w:vAlign w:val="center"/>
          </w:tcPr>
          <w:p>
            <w:r>
              <w:rPr>
                <w:b w:val="false"/>
                <w:bCs w:val="false"/>
                <w:color w:val="000000"/>
                <w:sz w:val="20"/>
                <w:szCs w:val="20"/>
              </w:rPr>
              <w:t xml:space="preserve">Wakil Pengguna (Program Manager)</w:t>
            </w:r>
          </w:p>
        </w:tc>
        <w:tc>
          <w:tcPr>
            <w:tcW w:type="dxa" w:w="1700"/>
            <w:tcMar>
              <w:top w:type="dxa" w:w="80"/>
              <w:left w:type="dxa" w:w="100"/>
              <w:bottom w:type="dxa" w:w="80"/>
              <w:right w:type="dxa" w:w="100"/>
            </w:tcMar>
            <w:vAlign w:val="center"/>
          </w:tcPr>
          <w:p>
            <w:r>
              <w:rPr>
                <w:b w:val="false"/>
                <w:bCs w:val="false"/>
                <w:color w:val="000000"/>
                <w:sz w:val="20"/>
                <w:szCs w:val="20"/>
              </w:rPr>
              <w:t xml:space="preserve"/>
            </w:r>
          </w:p>
        </w:tc>
        <w:tc>
          <w:tcPr>
            <w:tcW w:type="dxa" w:w="1580"/>
            <w:tcMar>
              <w:top w:type="dxa" w:w="80"/>
              <w:left w:type="dxa" w:w="100"/>
              <w:bottom w:type="dxa" w:w="80"/>
              <w:right w:type="dxa" w:w="100"/>
            </w:tcMar>
            <w:vAlign w:val="center"/>
          </w:tcPr>
          <w:p>
            <w:r>
              <w:rPr>
                <w:b w:val="false"/>
                <w:bCs w:val="false"/>
                <w:color w:val="000000"/>
                <w:sz w:val="20"/>
                <w:szCs w:val="20"/>
              </w:rPr>
              <w:t xml:space="preserve"/>
            </w:r>
          </w:p>
        </w:tc>
      </w:tr>
    </w:tbl>
    <w:p>
      <w:pPr>
        <w:pStyle w:val="Heading1"/>
        <w:pBdr>
          <w:bottom w:val="single" w:color="1F3864" w:sz="8" w:space="4"/>
        </w:pBdr>
        <w:spacing w:after="180" w:before="360"/>
      </w:pPr>
      <w:r>
        <w:rPr>
          <w:b/>
          <w:bCs/>
          <w:color w:val="1F3864"/>
          <w:sz w:val="30"/>
          <w:szCs w:val="30"/>
        </w:rPr>
        <w:t xml:space="preserve">14. LAMPIRAN</w:t>
      </w:r>
    </w:p>
    <w:p>
      <w:pPr>
        <w:pStyle w:val="Heading2"/>
        <w:spacing w:after="140" w:before="260"/>
      </w:pPr>
      <w:r>
        <w:rPr>
          <w:b/>
          <w:bCs/>
          <w:color w:val="2E5395"/>
          <w:sz w:val="25"/>
          <w:szCs w:val="25"/>
        </w:rPr>
        <w:t xml:space="preserve">14.1 Rujukan</w:t>
      </w:r>
    </w:p>
    <w:p>
      <w:pPr>
        <w:pStyle w:val="ListParagraph"/>
        <w:numPr>
          <w:ilvl w:val="0"/>
          <w:numId w:val="2"/>
        </w:numPr>
        <w:spacing w:after="80"/>
      </w:pPr>
      <w:r>
        <w:rPr>
          <w:sz w:val="22"/>
          <w:szCs w:val="22"/>
        </w:rPr>
        <w:t xml:space="preserve">Pelan Strategik KPKT (rujukan dalaman)</w:t>
      </w:r>
    </w:p>
    <w:p>
      <w:pPr>
        <w:pStyle w:val="ListParagraph"/>
        <w:numPr>
          <w:ilvl w:val="0"/>
          <w:numId w:val="2"/>
        </w:numPr>
        <w:spacing w:after="80"/>
      </w:pPr>
      <w:r>
        <w:rPr>
          <w:sz w:val="22"/>
          <w:szCs w:val="22"/>
        </w:rPr>
        <w:t xml:space="preserve">Dokumentasi rasmi React.js — https://react.dev</w:t>
      </w:r>
    </w:p>
    <w:p>
      <w:pPr>
        <w:pStyle w:val="ListParagraph"/>
        <w:numPr>
          <w:ilvl w:val="0"/>
          <w:numId w:val="2"/>
        </w:numPr>
        <w:spacing w:after="80"/>
      </w:pPr>
      <w:r>
        <w:rPr>
          <w:sz w:val="22"/>
          <w:szCs w:val="22"/>
        </w:rPr>
        <w:t xml:space="preserve">Dokumentasi z.ai GLM Model — https://z.ai</w:t>
      </w:r>
    </w:p>
    <w:p>
      <w:pPr>
        <w:pStyle w:val="Heading2"/>
        <w:spacing w:after="140" w:before="260"/>
      </w:pPr>
      <w:r>
        <w:rPr>
          <w:b/>
          <w:bCs/>
          <w:color w:val="2E5395"/>
          <w:sz w:val="25"/>
          <w:szCs w:val="25"/>
        </w:rPr>
        <w:t xml:space="preserve">14.2 Sejarah Semakan Dokumen</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180"/>
      </w:tblGrid>
      <w:tr>
        <w:tc>
          <w:tcPr>
            <w:tcW w:type="dxa" w:w="1500"/>
            <w:shd w:fill="1F3864" w:val="clear"/>
            <w:tcMar>
              <w:top w:type="dxa" w:w="80"/>
              <w:left w:type="dxa" w:w="100"/>
              <w:bottom w:type="dxa" w:w="80"/>
              <w:right w:type="dxa" w:w="100"/>
            </w:tcMar>
            <w:vAlign w:val="center"/>
          </w:tcPr>
          <w:p>
            <w:r>
              <w:rPr>
                <w:b/>
                <w:bCs/>
                <w:color w:val="FFFFFF"/>
                <w:sz w:val="20"/>
                <w:szCs w:val="20"/>
              </w:rPr>
              <w:t xml:space="preserve">Versi</w:t>
            </w:r>
          </w:p>
        </w:tc>
        <w:tc>
          <w:tcPr>
            <w:tcW w:type="dxa" w:w="2500"/>
            <w:shd w:fill="1F3864" w:val="clear"/>
            <w:tcMar>
              <w:top w:type="dxa" w:w="80"/>
              <w:left w:type="dxa" w:w="100"/>
              <w:bottom w:type="dxa" w:w="80"/>
              <w:right w:type="dxa" w:w="100"/>
            </w:tcMar>
            <w:vAlign w:val="center"/>
          </w:tcPr>
          <w:p>
            <w:r>
              <w:rPr>
                <w:b/>
                <w:bCs/>
                <w:color w:val="FFFFFF"/>
                <w:sz w:val="20"/>
                <w:szCs w:val="20"/>
              </w:rPr>
              <w:t xml:space="preserve">Tarikh</w:t>
            </w:r>
          </w:p>
        </w:tc>
        <w:tc>
          <w:tcPr>
            <w:tcW w:type="dxa" w:w="2500"/>
            <w:shd w:fill="1F3864" w:val="clear"/>
            <w:tcMar>
              <w:top w:type="dxa" w:w="80"/>
              <w:left w:type="dxa" w:w="100"/>
              <w:bottom w:type="dxa" w:w="80"/>
              <w:right w:type="dxa" w:w="100"/>
            </w:tcMar>
            <w:vAlign w:val="center"/>
          </w:tcPr>
          <w:p>
            <w:r>
              <w:rPr>
                <w:b/>
                <w:bCs/>
                <w:color w:val="FFFFFF"/>
                <w:sz w:val="20"/>
                <w:szCs w:val="20"/>
              </w:rPr>
              <w:t xml:space="preserve">Penerangan Perubahan</w:t>
            </w:r>
          </w:p>
        </w:tc>
        <w:tc>
          <w:tcPr>
            <w:tcW w:type="dxa" w:w="2180"/>
            <w:shd w:fill="1F3864" w:val="clear"/>
            <w:tcMar>
              <w:top w:type="dxa" w:w="80"/>
              <w:left w:type="dxa" w:w="100"/>
              <w:bottom w:type="dxa" w:w="80"/>
              <w:right w:type="dxa" w:w="100"/>
            </w:tcMar>
            <w:vAlign w:val="center"/>
          </w:tcPr>
          <w:p>
            <w:r>
              <w:rPr>
                <w:b/>
                <w:bCs/>
                <w:color w:val="FFFFFF"/>
                <w:sz w:val="20"/>
                <w:szCs w:val="20"/>
              </w:rPr>
              <w:t xml:space="preserve">Disediakan Oleh</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1.0</w:t>
            </w:r>
          </w:p>
        </w:tc>
        <w:tc>
          <w:tcPr>
            <w:tcW w:type="dxa" w:w="2500"/>
            <w:tcMar>
              <w:top w:type="dxa" w:w="80"/>
              <w:left w:type="dxa" w:w="100"/>
              <w:bottom w:type="dxa" w:w="80"/>
              <w:right w:type="dxa" w:w="100"/>
            </w:tcMar>
            <w:vAlign w:val="center"/>
          </w:tcPr>
          <w:p>
            <w:r>
              <w:rPr>
                <w:b w:val="false"/>
                <w:bCs w:val="false"/>
                <w:color w:val="000000"/>
                <w:sz w:val="20"/>
                <w:szCs w:val="20"/>
              </w:rPr>
              <w:t xml:space="preserve">29 Julai 2026</w:t>
            </w:r>
          </w:p>
        </w:tc>
        <w:tc>
          <w:tcPr>
            <w:tcW w:type="dxa" w:w="2500"/>
            <w:tcMar>
              <w:top w:type="dxa" w:w="80"/>
              <w:left w:type="dxa" w:w="100"/>
              <w:bottom w:type="dxa" w:w="80"/>
              <w:right w:type="dxa" w:w="100"/>
            </w:tcMar>
            <w:vAlign w:val="center"/>
          </w:tcPr>
          <w:p>
            <w:r>
              <w:rPr>
                <w:b w:val="false"/>
                <w:bCs w:val="false"/>
                <w:color w:val="000000"/>
                <w:sz w:val="20"/>
                <w:szCs w:val="20"/>
              </w:rPr>
              <w:t xml:space="preserve">Draf awal PRD</w:t>
            </w:r>
          </w:p>
        </w:tc>
        <w:tc>
          <w:tcPr>
            <w:tcW w:type="dxa" w:w="2180"/>
            <w:tcMar>
              <w:top w:type="dxa" w:w="80"/>
              <w:left w:type="dxa" w:w="100"/>
              <w:bottom w:type="dxa" w:w="80"/>
              <w:right w:type="dxa" w:w="100"/>
            </w:tcMar>
            <w:vAlign w:val="center"/>
          </w:tcPr>
          <w:p>
            <w:r>
              <w:rPr>
                <w:b w:val="false"/>
                <w:bCs w:val="false"/>
                <w:color w:val="000000"/>
                <w:sz w:val="20"/>
                <w:szCs w:val="20"/>
              </w:rPr>
              <w:t xml:space="preserve">Bahagian Perancangan Strategik &amp; Digital, KPKT</w:t>
            </w:r>
          </w:p>
        </w:tc>
      </w:tr>
    </w:tbl>
    <w:sectPr>
      <w:headerReference w:type="default" r:id="rId9"/>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Muka Surat </w:t>
    </w:r>
    <w:r>
      <w:rPr>
        <w:color w:val="595959"/>
        <w:sz w:val="16"/>
        <w:szCs w:val="16"/>
      </w:rPr>
      <w:fldChar w:fldCharType="begin"/>
      <w:instrText xml:space="preserve">PAGE</w:instrText>
      <w:fldChar w:fldCharType="separate"/>
      <w:fldChar w:fldCharType="end"/>
    </w:r>
    <w:r>
      <w:rPr>
        <w:color w:val="595959"/>
        <w:sz w:val="16"/>
        <w:szCs w:val="16"/>
      </w:rPr>
      <w:t xml:space="preserve"> daripada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Muka Surat </w:t>
    </w:r>
    <w:r>
      <w:rPr>
        <w:color w:val="595959"/>
        <w:sz w:val="16"/>
        <w:szCs w:val="16"/>
      </w:rPr>
      <w:fldChar w:fldCharType="begin"/>
      <w:instrText xml:space="preserve">PAGE</w:instrText>
      <w:fldChar w:fldCharType="separate"/>
      <w:fldChar w:fldCharType="end"/>
    </w:r>
    <w:r>
      <w:rPr>
        <w:color w:val="595959"/>
        <w:sz w:val="16"/>
        <w:szCs w:val="16"/>
      </w:rPr>
      <w:t xml:space="preserve"> daripada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PRD — Dashboard Program Pembangunan Komuniti | KPKT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PRD — Dashboard Program Pembangunan Komuniti | KPKT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2026-07-29T03:22:19.224Z</dcterms:created>
  <dcterms:modified xsi:type="dcterms:W3CDTF">2026-07-29T03:22:19.245Z</dcterms:modified>
</cp:coreProperties>
</file>

<file path=docProps/custom.xml><?xml version="1.0" encoding="utf-8"?>
<Properties xmlns="http://schemas.openxmlformats.org/officeDocument/2006/custom-properties" xmlns:vt="http://schemas.openxmlformats.org/officeDocument/2006/docPropsVTypes"/>
</file>