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45AB3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45557917" wp14:editId="021198F4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3C7D0" id="Group 3" o:spid="_x0000_s1026" alt="&quot;&quot;" style="position:absolute;margin-left:-53.25pt;margin-top:-45pt;width:612pt;height:11in;z-index:-251656192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360"/>
        <w:gridCol w:w="360"/>
        <w:gridCol w:w="6840"/>
      </w:tblGrid>
      <w:tr w:rsidR="00EA62A2" w14:paraId="0F299CC5" w14:textId="77777777" w:rsidTr="00D53461">
        <w:trPr>
          <w:trHeight w:val="1296"/>
        </w:trPr>
        <w:tc>
          <w:tcPr>
            <w:tcW w:w="10080" w:type="dxa"/>
            <w:gridSpan w:val="4"/>
          </w:tcPr>
          <w:p w14:paraId="6D487125" w14:textId="7BC97184" w:rsidR="00EA62A2" w:rsidRDefault="00A204EB" w:rsidP="00526631">
            <w:pPr>
              <w:pStyle w:val="Title"/>
            </w:pPr>
            <w:r w:rsidRPr="00A204EB">
              <w:t>Digital Modulation</w:t>
            </w:r>
          </w:p>
        </w:tc>
      </w:tr>
      <w:tr w:rsidR="00EA62A2" w14:paraId="4070B727" w14:textId="77777777" w:rsidTr="00FC6625">
        <w:tc>
          <w:tcPr>
            <w:tcW w:w="10080" w:type="dxa"/>
            <w:gridSpan w:val="4"/>
          </w:tcPr>
          <w:p w14:paraId="4A6FDCA6" w14:textId="11CF302F" w:rsidR="00EA62A2" w:rsidRDefault="00EA62A2" w:rsidP="00526631">
            <w:pPr>
              <w:pStyle w:val="Subtitle"/>
            </w:pPr>
          </w:p>
        </w:tc>
      </w:tr>
      <w:tr w:rsidR="00EA62A2" w14:paraId="0FFB361C" w14:textId="77777777" w:rsidTr="0063153B">
        <w:trPr>
          <w:trHeight w:val="378"/>
        </w:trPr>
        <w:tc>
          <w:tcPr>
            <w:tcW w:w="10080" w:type="dxa"/>
            <w:gridSpan w:val="4"/>
          </w:tcPr>
          <w:p w14:paraId="3F2F2DC2" w14:textId="77777777" w:rsidR="00EA62A2" w:rsidRDefault="00EA62A2" w:rsidP="009C2411"/>
        </w:tc>
      </w:tr>
      <w:tr w:rsidR="00FC6625" w14:paraId="05325EBA" w14:textId="77777777" w:rsidTr="0039032E">
        <w:trPr>
          <w:trHeight w:val="80"/>
        </w:trPr>
        <w:tc>
          <w:tcPr>
            <w:tcW w:w="2520" w:type="dxa"/>
            <w:vMerge w:val="restart"/>
          </w:tcPr>
          <w:p w14:paraId="3357805A" w14:textId="0C5286F0" w:rsidR="00FC6625" w:rsidRDefault="00D30CDE" w:rsidP="0063153B">
            <w:pPr>
              <w:pStyle w:val="Heading1"/>
            </w:pPr>
            <w:r w:rsidRPr="00D30CDE">
              <w:t>What is Modulation?</w:t>
            </w:r>
          </w:p>
          <w:p w14:paraId="50059C9B" w14:textId="4CCDD73D" w:rsidR="00FC6625" w:rsidRPr="005579C9" w:rsidRDefault="00D30CDE" w:rsidP="00EA62A2">
            <w:r>
              <w:t>T</w:t>
            </w:r>
            <w:r w:rsidRPr="00D30CDE">
              <w:t>he process of superimposing high-frequency carrier signals with low-frequency message signals resulting in a modulated wave.  In modulation, one of the three parameters of the carrier wave is changed i.e. amplitude, frequency or phase according to the amplitude of the message signal at a given time instant. It is an important technique used to increase the range of communication, increase the </w:t>
            </w:r>
            <w:hyperlink r:id="rId10" w:tgtFrame="_blank" w:history="1">
              <w:r w:rsidRPr="00D30CDE">
                <w:rPr>
                  <w:rStyle w:val="Hyperlink"/>
                </w:rPr>
                <w:t>signal-to-noise ratio</w:t>
              </w:r>
            </w:hyperlink>
            <w:r w:rsidRPr="00D30CDE">
              <w:t>, and decrease the size of the antenna.</w:t>
            </w:r>
          </w:p>
        </w:tc>
        <w:tc>
          <w:tcPr>
            <w:tcW w:w="720" w:type="dxa"/>
            <w:gridSpan w:val="2"/>
          </w:tcPr>
          <w:p w14:paraId="0255C52C" w14:textId="77777777" w:rsidR="00FC6625" w:rsidRDefault="00FC6625" w:rsidP="00AF2F9F">
            <w:pPr>
              <w:ind w:left="-14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C687BEC" wp14:editId="3F66DE7B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46621BE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</w:tcPr>
          <w:p w14:paraId="2F79DAD0" w14:textId="465ECBAF" w:rsidR="00FC6625" w:rsidRPr="005579C9" w:rsidRDefault="00D30CDE" w:rsidP="0063153B">
            <w:pPr>
              <w:pStyle w:val="Heading1"/>
            </w:pPr>
            <w:r>
              <w:t>Digital modulation</w:t>
            </w:r>
          </w:p>
          <w:p w14:paraId="44126F72" w14:textId="367E1068" w:rsidR="00FC6625" w:rsidRDefault="00D30CDE" w:rsidP="00D30CDE">
            <w:r>
              <w:t>There are three types of digital modulations</w:t>
            </w:r>
            <w:r w:rsidR="00495BBE">
              <w:t>:</w:t>
            </w:r>
          </w:p>
          <w:p w14:paraId="770590B5" w14:textId="4CF2EAB9" w:rsidR="00495BBE" w:rsidRDefault="00495BBE" w:rsidP="00495BBE">
            <w:pPr>
              <w:pStyle w:val="ListParagraph"/>
              <w:numPr>
                <w:ilvl w:val="0"/>
                <w:numId w:val="3"/>
              </w:numPr>
            </w:pPr>
            <w:r>
              <w:t>ASK</w:t>
            </w:r>
          </w:p>
          <w:p w14:paraId="557E8604" w14:textId="6DEB63B7" w:rsidR="00495BBE" w:rsidRDefault="00495BBE" w:rsidP="00495BBE">
            <w:pPr>
              <w:pStyle w:val="ListParagraph"/>
              <w:numPr>
                <w:ilvl w:val="0"/>
                <w:numId w:val="3"/>
              </w:numPr>
            </w:pPr>
            <w:r>
              <w:t>FSK</w:t>
            </w:r>
          </w:p>
          <w:p w14:paraId="6BD181CD" w14:textId="5B271102" w:rsidR="00495BBE" w:rsidRDefault="00495BBE" w:rsidP="00495BBE">
            <w:pPr>
              <w:pStyle w:val="ListParagraph"/>
              <w:numPr>
                <w:ilvl w:val="0"/>
                <w:numId w:val="3"/>
              </w:numPr>
            </w:pPr>
            <w:r>
              <w:t>PSK</w:t>
            </w:r>
          </w:p>
          <w:p w14:paraId="7C815F6E" w14:textId="77777777" w:rsidR="00495BBE" w:rsidRDefault="00495BBE" w:rsidP="00495BBE"/>
          <w:p w14:paraId="7F4889A0" w14:textId="0B8FFDDF" w:rsidR="00495BBE" w:rsidRDefault="00F32F5E" w:rsidP="00F32F5E">
            <w:r>
              <w:t>1.</w:t>
            </w:r>
            <w:r w:rsidR="00495BBE">
              <w:t xml:space="preserve">ASK (Amplitude shift keying)  </w:t>
            </w:r>
          </w:p>
          <w:p w14:paraId="3B23AA95" w14:textId="11C8E2E9" w:rsidR="00495BBE" w:rsidRDefault="00495BBE" w:rsidP="00495BBE">
            <w:pPr>
              <w:pStyle w:val="ListParagraph"/>
              <w:numPr>
                <w:ilvl w:val="0"/>
                <w:numId w:val="5"/>
              </w:numPr>
            </w:pPr>
            <w:r>
              <w:t>E</w:t>
            </w:r>
            <w:r w:rsidRPr="00495BBE">
              <w:t>ach symbol in the message signal gives a unique amplitude to the carrier wave.</w:t>
            </w:r>
          </w:p>
          <w:p w14:paraId="02AEDDFA" w14:textId="1B7629D3" w:rsidR="00495BBE" w:rsidRDefault="00495BBE" w:rsidP="00495BBE">
            <w:pPr>
              <w:pStyle w:val="ListParagraph"/>
              <w:numPr>
                <w:ilvl w:val="0"/>
                <w:numId w:val="5"/>
              </w:numPr>
            </w:pPr>
            <w:r w:rsidRPr="00495BBE">
              <w:t>In ASK, each symbol in the message signal corresponds to a unique amplitude level of the carrier wave. For example, logic 1 might be associated with a certain amplitude (e.g., 12V), while logic 0 corresponds to a different amplitude (e.g., 0V).</w:t>
            </w:r>
          </w:p>
          <w:p w14:paraId="173289FE" w14:textId="6C3A9E20" w:rsidR="00495BBE" w:rsidRDefault="00495BBE" w:rsidP="00495BBE">
            <w:pPr>
              <w:pStyle w:val="ListParagraph"/>
              <w:ind w:left="720"/>
            </w:pPr>
            <w:r>
              <w:rPr>
                <w:noProof/>
              </w:rPr>
              <w:drawing>
                <wp:inline distT="0" distB="0" distL="0" distR="0" wp14:anchorId="2F384278" wp14:editId="04CAC474">
                  <wp:extent cx="2241550" cy="1308581"/>
                  <wp:effectExtent l="0" t="0" r="6350" b="6350"/>
                  <wp:docPr id="516478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2"/>
                          <a:stretch/>
                        </pic:blipFill>
                        <pic:spPr bwMode="auto">
                          <a:xfrm>
                            <a:off x="0" y="0"/>
                            <a:ext cx="2264324" cy="1321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4A3A9D" w14:textId="77777777" w:rsidR="00FC6625" w:rsidRDefault="00FC6625" w:rsidP="0063153B"/>
          <w:p w14:paraId="44B7567A" w14:textId="431C3A71" w:rsidR="00FC6625" w:rsidRDefault="001555A0" w:rsidP="0063153B">
            <w:r>
              <w:t>2.</w:t>
            </w:r>
            <w:r w:rsidR="00495BBE">
              <w:t xml:space="preserve"> FSK (Frequency shift keying)</w:t>
            </w:r>
          </w:p>
          <w:p w14:paraId="7603B51B" w14:textId="041DF9B8" w:rsidR="00495BBE" w:rsidRDefault="001555A0" w:rsidP="0063153B">
            <w:r>
              <w:t xml:space="preserve">  </w:t>
            </w:r>
            <w:r w:rsidR="00F32F5E">
              <w:t xml:space="preserve">      </w:t>
            </w:r>
            <w:r>
              <w:t xml:space="preserve"> </w:t>
            </w:r>
            <w:r w:rsidR="00495BBE">
              <w:t xml:space="preserve">- </w:t>
            </w:r>
            <w:r w:rsidR="00495BBE" w:rsidRPr="00495BBE">
              <w:t>FSK changes the frequency of the carrier wave to represent different</w:t>
            </w:r>
            <w:r w:rsidR="00F32F5E">
              <w:t xml:space="preserve">   </w:t>
            </w:r>
            <w:r w:rsidR="00495BBE" w:rsidRPr="00495BBE">
              <w:t>symbols.</w:t>
            </w:r>
            <w:r w:rsidR="00F32F5E">
              <w:t xml:space="preserve"> </w:t>
            </w:r>
            <w:r w:rsidR="00495BBE" w:rsidRPr="00495BBE">
              <w:t>Logic 1 might be associated with one carrier frequency, and logic 0 with another.</w:t>
            </w:r>
          </w:p>
          <w:p w14:paraId="3B8ADFD8" w14:textId="77777777" w:rsidR="001555A0" w:rsidRDefault="001555A0" w:rsidP="0063153B"/>
          <w:p w14:paraId="552C5DC8" w14:textId="75459141" w:rsidR="001555A0" w:rsidRDefault="001555A0" w:rsidP="0063153B">
            <w:r>
              <w:rPr>
                <w:noProof/>
              </w:rPr>
              <w:drawing>
                <wp:inline distT="0" distB="0" distL="0" distR="0" wp14:anchorId="382B1516" wp14:editId="28E5B704">
                  <wp:extent cx="2404745" cy="1162792"/>
                  <wp:effectExtent l="0" t="0" r="0" b="0"/>
                  <wp:docPr id="15018637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391" cy="120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E5A31" w14:textId="29E1B5DC" w:rsidR="00FC6625" w:rsidRDefault="00FC6625" w:rsidP="001555A0"/>
          <w:p w14:paraId="7F26DE5C" w14:textId="32711834" w:rsidR="001555A0" w:rsidRDefault="001555A0" w:rsidP="001555A0"/>
          <w:p w14:paraId="04C0D830" w14:textId="77777777" w:rsidR="00FC6625" w:rsidRDefault="00FC6625" w:rsidP="009C2411"/>
          <w:p w14:paraId="7E13011C" w14:textId="77259697" w:rsidR="001555A0" w:rsidRDefault="00F32F5E" w:rsidP="00F32F5E">
            <w:r>
              <w:t>3.</w:t>
            </w:r>
            <w:r w:rsidR="001555A0" w:rsidRPr="001555A0">
              <w:t>PSK varies the phase of the carrier wave. Each symbol corresponds to a specific phase shift (e.g., 0° or 180°).</w:t>
            </w:r>
          </w:p>
          <w:p w14:paraId="22711810" w14:textId="77777777" w:rsidR="00F32F5E" w:rsidRDefault="00F32F5E" w:rsidP="00F32F5E"/>
          <w:p w14:paraId="4C26BD20" w14:textId="5EF328D5" w:rsidR="00F32F5E" w:rsidRDefault="00F32F5E" w:rsidP="00F32F5E">
            <w:pPr>
              <w:pStyle w:val="ListParagraph"/>
              <w:ind w:left="720"/>
            </w:pPr>
            <w:r>
              <w:rPr>
                <w:noProof/>
              </w:rPr>
              <w:drawing>
                <wp:inline distT="0" distB="0" distL="0" distR="0" wp14:anchorId="79DC38AF" wp14:editId="30F45821">
                  <wp:extent cx="2018665" cy="1200230"/>
                  <wp:effectExtent l="0" t="0" r="635" b="0"/>
                  <wp:docPr id="36783774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687" cy="121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625" w14:paraId="65AB87A6" w14:textId="77777777" w:rsidTr="0063153B">
        <w:trPr>
          <w:trHeight w:val="10332"/>
        </w:trPr>
        <w:tc>
          <w:tcPr>
            <w:tcW w:w="2520" w:type="dxa"/>
            <w:vMerge/>
          </w:tcPr>
          <w:p w14:paraId="7868C0D6" w14:textId="77777777" w:rsidR="00FC6625" w:rsidRDefault="00FC6625" w:rsidP="00EA62A2">
            <w:pPr>
              <w:pStyle w:val="Heading2"/>
            </w:pPr>
          </w:p>
        </w:tc>
        <w:tc>
          <w:tcPr>
            <w:tcW w:w="360" w:type="dxa"/>
            <w:tcBorders>
              <w:right w:val="single" w:sz="18" w:space="0" w:color="BF1E00" w:themeColor="accent1"/>
            </w:tcBorders>
          </w:tcPr>
          <w:p w14:paraId="65BAC594" w14:textId="77777777" w:rsidR="00FC6625" w:rsidRDefault="00FC6625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360" w:type="dxa"/>
            <w:tcBorders>
              <w:left w:val="single" w:sz="18" w:space="0" w:color="BF1E00" w:themeColor="accent1"/>
            </w:tcBorders>
          </w:tcPr>
          <w:p w14:paraId="493AB813" w14:textId="77777777" w:rsidR="00FC6625" w:rsidRDefault="00FC6625" w:rsidP="009C2411"/>
        </w:tc>
        <w:tc>
          <w:tcPr>
            <w:tcW w:w="6840" w:type="dxa"/>
            <w:vMerge/>
          </w:tcPr>
          <w:p w14:paraId="6CB48DA9" w14:textId="77777777" w:rsidR="00FC6625" w:rsidRPr="005579C9" w:rsidRDefault="00FC6625" w:rsidP="00EA62A2">
            <w:pPr>
              <w:pStyle w:val="Heading2"/>
            </w:pPr>
          </w:p>
        </w:tc>
      </w:tr>
    </w:tbl>
    <w:p w14:paraId="007FE3DE" w14:textId="77777777" w:rsidR="00180710" w:rsidRDefault="00180710" w:rsidP="00FB0432"/>
    <w:sectPr w:rsidR="00180710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502EB" w14:textId="77777777" w:rsidR="00A204EB" w:rsidRDefault="00A204EB" w:rsidP="003D42E9">
      <w:r>
        <w:separator/>
      </w:r>
    </w:p>
  </w:endnote>
  <w:endnote w:type="continuationSeparator" w:id="0">
    <w:p w14:paraId="0DA8D938" w14:textId="77777777" w:rsidR="00A204EB" w:rsidRDefault="00A204EB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27119" w14:textId="77777777" w:rsidR="00A204EB" w:rsidRDefault="00A204EB" w:rsidP="003D42E9">
      <w:r>
        <w:separator/>
      </w:r>
    </w:p>
  </w:footnote>
  <w:footnote w:type="continuationSeparator" w:id="0">
    <w:p w14:paraId="6220D5DB" w14:textId="77777777" w:rsidR="00A204EB" w:rsidRDefault="00A204EB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31CC"/>
    <w:multiLevelType w:val="hybridMultilevel"/>
    <w:tmpl w:val="F52C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866C7"/>
    <w:multiLevelType w:val="hybridMultilevel"/>
    <w:tmpl w:val="11B22D8C"/>
    <w:lvl w:ilvl="0" w:tplc="98EAC110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444A3"/>
    <w:multiLevelType w:val="hybridMultilevel"/>
    <w:tmpl w:val="45F8BFAC"/>
    <w:lvl w:ilvl="0" w:tplc="9ACAE3AE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21872"/>
    <w:multiLevelType w:val="hybridMultilevel"/>
    <w:tmpl w:val="0A84A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336860">
    <w:abstractNumId w:val="0"/>
  </w:num>
  <w:num w:numId="2" w16cid:durableId="290937973">
    <w:abstractNumId w:val="1"/>
  </w:num>
  <w:num w:numId="3" w16cid:durableId="1686321152">
    <w:abstractNumId w:val="5"/>
  </w:num>
  <w:num w:numId="4" w16cid:durableId="938875276">
    <w:abstractNumId w:val="4"/>
  </w:num>
  <w:num w:numId="5" w16cid:durableId="223109541">
    <w:abstractNumId w:val="3"/>
  </w:num>
  <w:num w:numId="6" w16cid:durableId="248270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EB"/>
    <w:rsid w:val="000761F2"/>
    <w:rsid w:val="000D60A5"/>
    <w:rsid w:val="000E055C"/>
    <w:rsid w:val="001555A0"/>
    <w:rsid w:val="00180710"/>
    <w:rsid w:val="001A07E0"/>
    <w:rsid w:val="001D7755"/>
    <w:rsid w:val="0030456C"/>
    <w:rsid w:val="00315265"/>
    <w:rsid w:val="00322C94"/>
    <w:rsid w:val="0039032E"/>
    <w:rsid w:val="003D42E9"/>
    <w:rsid w:val="003E4645"/>
    <w:rsid w:val="003F4542"/>
    <w:rsid w:val="00413FAB"/>
    <w:rsid w:val="00430E0C"/>
    <w:rsid w:val="004823C2"/>
    <w:rsid w:val="00483E87"/>
    <w:rsid w:val="004940BD"/>
    <w:rsid w:val="00495BBE"/>
    <w:rsid w:val="004A6BB1"/>
    <w:rsid w:val="00523B0B"/>
    <w:rsid w:val="00526631"/>
    <w:rsid w:val="00531E08"/>
    <w:rsid w:val="005578C3"/>
    <w:rsid w:val="005B65A2"/>
    <w:rsid w:val="00605CE3"/>
    <w:rsid w:val="0063153B"/>
    <w:rsid w:val="00631E10"/>
    <w:rsid w:val="00671B73"/>
    <w:rsid w:val="00713365"/>
    <w:rsid w:val="00724932"/>
    <w:rsid w:val="007B67D3"/>
    <w:rsid w:val="008038BB"/>
    <w:rsid w:val="008543EA"/>
    <w:rsid w:val="00854858"/>
    <w:rsid w:val="00865306"/>
    <w:rsid w:val="008F52BA"/>
    <w:rsid w:val="009048D2"/>
    <w:rsid w:val="00960AE6"/>
    <w:rsid w:val="009C2411"/>
    <w:rsid w:val="00A204EB"/>
    <w:rsid w:val="00A457B0"/>
    <w:rsid w:val="00A6401B"/>
    <w:rsid w:val="00AB5A73"/>
    <w:rsid w:val="00AF2F9F"/>
    <w:rsid w:val="00B067CD"/>
    <w:rsid w:val="00B70A77"/>
    <w:rsid w:val="00B758ED"/>
    <w:rsid w:val="00C832BD"/>
    <w:rsid w:val="00C96045"/>
    <w:rsid w:val="00D30CDE"/>
    <w:rsid w:val="00D53461"/>
    <w:rsid w:val="00D7168E"/>
    <w:rsid w:val="00E0696E"/>
    <w:rsid w:val="00E520A3"/>
    <w:rsid w:val="00E7052C"/>
    <w:rsid w:val="00EA62A2"/>
    <w:rsid w:val="00EB6FE0"/>
    <w:rsid w:val="00EC5D87"/>
    <w:rsid w:val="00EE4AD0"/>
    <w:rsid w:val="00F32F5E"/>
    <w:rsid w:val="00F85A56"/>
    <w:rsid w:val="00F96D85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D8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31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631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31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ListParagraph">
    <w:name w:val="List Paragraph"/>
    <w:basedOn w:val="Normal"/>
    <w:uiPriority w:val="34"/>
    <w:semiHidden/>
    <w:rsid w:val="00EB6FE0"/>
    <w:pPr>
      <w:ind w:left="360"/>
      <w:contextualSpacing/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63153B"/>
    <w:pPr>
      <w:numPr>
        <w:ilvl w:val="1"/>
      </w:numPr>
      <w:spacing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53B"/>
    <w:rPr>
      <w:rFonts w:eastAsiaTheme="minorEastAsia"/>
      <w:color w:val="BF1E00" w:themeColor="accent1"/>
      <w:szCs w:val="22"/>
    </w:rPr>
  </w:style>
  <w:style w:type="character" w:styleId="Hyperlink">
    <w:name w:val="Hyperlink"/>
    <w:basedOn w:val="DefaultParagraphFont"/>
    <w:uiPriority w:val="99"/>
    <w:semiHidden/>
    <w:rsid w:val="00D30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signal-to-noise-ratio-formul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N%7bA5E7D40F-01A4-46C7-8EB5-3EFA71D65448%7d\%7bFBB45BE4-649A-4198-BB2D-060C1CECA91F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CC9D5-58B0-46B9-AF12-831046E8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{FBB45BE4-649A-4198-BB2D-060C1CECA91F}tf16392877_win32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2024-07-10T09:41:00Z</dcterms:created>
  <dcterms:modified xsi:type="dcterms:W3CDTF">2024-07-10T10:29:00Z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