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7C"/>
          <w:sz w:val="32"/>
        </w:rPr>
        <w:t>ML_Model_Proposal_and_Data_Requirements.docx</w:t>
      </w:r>
    </w:p>
    <w:p>
      <w:pPr>
        <w:jc w:val="center"/>
      </w:pPr>
      <w:r>
        <w:rPr>
          <w:color w:val="444466"/>
          <w:sz w:val="26"/>
        </w:rPr>
        <w:t>Document Structure Overview — 7 Sections</w:t>
      </w:r>
    </w:p>
    <w:p/>
    <w:p>
      <w:pPr>
        <w:jc w:val="center"/>
      </w:pPr>
      <w:r>
        <w:t>MSE Studio Team  |  March 2026</w:t>
      </w:r>
    </w:p>
    <w:p/>
    <w:p>
      <w:pPr>
        <w:shd w:val="clear" w:color="auto" w:fill="E3F2FD"/>
        <w:spacing w:before="80" w:after="160"/>
        <w:ind w:left="360"/>
      </w:pPr>
      <w:r>
        <w:rPr>
          <w:i/>
          <w:color w:val="333355"/>
          <w:sz w:val="20"/>
        </w:rPr>
        <w:t>This document is a structural overview of the full ML proposal. It describes what each section covers so that eParts team members can quickly locate the content most relevant to their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84"/>
            <w:gridSpan w:val="2"/>
            <w:shd w:val="clear" w:color="auto" w:fill="FFF9C4"/>
          </w:tcPr>
          <w:p>
            <w:r>
              <w:rPr>
                <w:b/>
                <w:color w:val="1A377C"/>
                <w:sz w:val="22"/>
              </w:rPr>
              <w:t xml:space="preserve">Section 1  </w:t>
            </w:r>
            <w:r>
              <w:rPr>
                <w:b/>
                <w:sz w:val="22"/>
              </w:rPr>
              <w:t>Executive Summary</w:t>
            </w:r>
          </w:p>
          <w:p>
            <w:r>
              <w:rPr>
                <w:i/>
                <w:color w:val="555555"/>
                <w:sz w:val="18"/>
              </w:rPr>
              <w:t>For all stakeholders — no technical background required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Describes in plain language what the Attribute Prediction Service does: auto-process high-confidence supplier submissions; route low-confidence ones to human review.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Key callout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Defines the Confidence Score concept (0–1 scale) and explains that routing thresholds are configurable and every change is logged.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84"/>
            <w:gridSpan w:val="2"/>
            <w:shd w:val="clear" w:color="auto" w:fill="E8F5E9"/>
          </w:tcPr>
          <w:p>
            <w:r>
              <w:rPr>
                <w:b/>
                <w:color w:val="1A377C"/>
                <w:sz w:val="22"/>
              </w:rPr>
              <w:t xml:space="preserve">Section 2  </w:t>
            </w:r>
            <w:r>
              <w:rPr>
                <w:b/>
                <w:sz w:val="22"/>
              </w:rPr>
              <w:t>Where the ML Service Fits in Your Architecture</w:t>
            </w:r>
          </w:p>
          <w:p>
            <w:r>
              <w:rPr>
                <w:i/>
                <w:color w:val="555555"/>
                <w:sz w:val="18"/>
              </w:rPr>
              <w:t>Alignment with eParts reference architecture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Full ASCII flow diagram of all 12 architecture components, from Suppliers / Manufacturers through to Downstream Consumers.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Highlight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The Attribute Prediction Service box is clearly marked within the pipeline, between the Intermediate Structured Layer (Staging Tables) and the Confidence Routing component.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84"/>
            <w:gridSpan w:val="2"/>
            <w:shd w:val="clear" w:color="auto" w:fill="FFF3E0"/>
          </w:tcPr>
          <w:p>
            <w:r>
              <w:rPr>
                <w:b/>
                <w:color w:val="1A377C"/>
                <w:sz w:val="22"/>
              </w:rPr>
              <w:t xml:space="preserve">Section 3  </w:t>
            </w:r>
            <w:r>
              <w:rPr>
                <w:b/>
                <w:sz w:val="22"/>
              </w:rPr>
              <w:t>What the Service Does — Plain Language</w:t>
            </w:r>
          </w:p>
          <w:p>
            <w:r>
              <w:rPr>
                <w:i/>
                <w:color w:val="555555"/>
                <w:sz w:val="18"/>
              </w:rPr>
              <w:t>Accessible explanation for non-technical ops users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Analogy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Uses a “well-trained catalog specialist” analogy to explain the 6-step prediction and routing process.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Key constraint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Explicitly states the architecture requirement (§6.4): retraining must be manually triggered — no fully automated retraining. This keeps ops teams in control of which model version is live.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84"/>
            <w:gridSpan w:val="2"/>
            <w:shd w:val="clear" w:color="auto" w:fill="F3E5F5"/>
          </w:tcPr>
          <w:p>
            <w:r>
              <w:rPr>
                <w:b/>
                <w:color w:val="1A377C"/>
                <w:sz w:val="22"/>
              </w:rPr>
              <w:t xml:space="preserve">Section 4  </w:t>
            </w:r>
            <w:r>
              <w:rPr>
                <w:b/>
                <w:sz w:val="22"/>
              </w:rPr>
              <w:t>Technical Design with Key Formulas</w:t>
            </w:r>
          </w:p>
          <w:p>
            <w:r>
              <w:rPr>
                <w:i/>
                <w:color w:val="555555"/>
                <w:sz w:val="18"/>
              </w:rPr>
              <w:t>9 sub-sections covering all ML components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4.1  Rule Engine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Pattern-matching layer using regex and catalog lookups. Shows real examples from AIM2 spec sheet and RCT16-2500 datasheet. Assigns confidence 0.65–1.0 based on match quality.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4.2  Text-to-Vector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TF-IDF weighted word embedding formula. Explains why technical terms (thermistor, Rogowski) are weighted higher than common words.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4.3  Similarity Measurement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Cosine similarity formula, rescaled to [0, 1]. Interpretation table: sim ≥ 0.8 → safe to auto-accept.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4.4  Reference Region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Centroid formula + Mahalanobis distance formula + Gaussian confidence score formula. Explains why Mahalanobis outperforms straight-line distance for non-spherical data clusters.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4.5  k-NN Scoring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Simpler alternative: average similarity to the k=5 nearest known-correct examples. Also supports explainability — the k neighbors can be shown to reviewers as evidence.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4.6  Explainability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4 reason codes sent to Human Review Queue: RULE_NO_MATCH, LOW_SIMILARITY, AMBIGUOUS_VALUE, MISSING_FIELD. Satisfies architecture requirement §6.5.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4.7  Final Score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Combined confidence formula: α × conf_rule + (1−α) × conf_embed. Three routing thresholds: ≥ 0.85 auto-accept, 0.50–0.85 review, &lt; 0.50 flag.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4.8  Model Versioning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9-step manual retraining cycle with model registry and ops lead sign-off. Lightweight online centroid update formula for between-cycle corrections.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4.9  Data Volume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PAC learning bound formula. Conclusion: ~830 samples theoretical minimum; 200 labeled examples as first-phase target.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84"/>
            <w:gridSpan w:val="2"/>
            <w:shd w:val="clear" w:color="auto" w:fill="E0F7FA"/>
          </w:tcPr>
          <w:p>
            <w:r>
              <w:rPr>
                <w:b/>
                <w:color w:val="1A377C"/>
                <w:sz w:val="22"/>
              </w:rPr>
              <w:t xml:space="preserve">Section 5  </w:t>
            </w:r>
            <w:r>
              <w:rPr>
                <w:b/>
                <w:sz w:val="22"/>
              </w:rPr>
              <w:t>Data Requirements from eParts</w:t>
            </w:r>
          </w:p>
          <w:p>
            <w:r>
              <w:rPr>
                <w:i/>
                <w:color w:val="555555"/>
                <w:sz w:val="18"/>
              </w:rPr>
              <w:t>3 priority tiers — P1 blocking, P2 recommended, P3 helpful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P1-A  Labeled Examples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200 supplier submission examples with verified attribute mappings. 3 worked examples using real data files: AIM2 spec sheet, RCT16-2500 datasheet, and an ambiguous CSV row.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P1-B  Products Master Table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Product_ID → part number, name, free-text description, manufacturer. Currently missing from the shared data.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P1-C  Staging Table Schema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Column definitions for the Intermediate Structured Layer (new — required so the ML service knows what input format to expect).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P2-A  Valid Attribute Values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Complete list of accepted values per attribute. Shown with real Attribute_IDs from your Attributes.csv.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P2-B  Error Cases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50+ historical cases where a human reviewer had to correct the system. Two worked examples in realistic format.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P2-C  MSSQL Read Access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Read-only access to reference/lookup tables in your existing SQL Server, for real-time part number and manufacturer lookups (new — aligned with architecture §6.10).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P3 items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Supplier templates, volume by product category, known problematic suppliers.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Summary table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9-row priority table + data privacy note (anonymized data is acceptable).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84"/>
            <w:gridSpan w:val="2"/>
            <w:shd w:val="clear" w:color="auto" w:fill="FCE4EC"/>
          </w:tcPr>
          <w:p>
            <w:r>
              <w:rPr>
                <w:b/>
                <w:color w:val="1A377C"/>
                <w:sz w:val="22"/>
              </w:rPr>
              <w:t xml:space="preserve">Section 6  </w:t>
            </w:r>
            <w:r>
              <w:rPr>
                <w:b/>
                <w:sz w:val="22"/>
              </w:rPr>
              <w:t>Alignment with Your Architecture Requirements</w:t>
            </w:r>
          </w:p>
          <w:p>
            <w:r>
              <w:rPr>
                <w:i/>
                <w:color w:val="555555"/>
                <w:sz w:val="18"/>
              </w:rPr>
              <w:t>Traceability table for eParts technical reviewers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9-row table mapping each eParts architecture requirement (§6.1, §6.3, §6.4, §6.5, §6.8) to the specific design decision in this proposal that satisfies it.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Allows eParts technical leads to verify compliance without reading the full technical sections.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84"/>
            <w:gridSpan w:val="2"/>
            <w:shd w:val="clear" w:color="auto" w:fill="F1F8E9"/>
          </w:tcPr>
          <w:p>
            <w:r>
              <w:rPr>
                <w:b/>
                <w:color w:val="1A377C"/>
                <w:sz w:val="22"/>
              </w:rPr>
              <w:t xml:space="preserve">Section 7  </w:t>
            </w:r>
            <w:r>
              <w:rPr>
                <w:b/>
                <w:sz w:val="22"/>
              </w:rPr>
              <w:t>Proposed Next Steps</w:t>
            </w:r>
          </w:p>
          <w:p>
            <w:r>
              <w:rPr>
                <w:i/>
                <w:color w:val="555555"/>
                <w:sz w:val="18"/>
              </w:rPr>
              <w:t>Action plan for both teams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9-step action table with owner column (eParts / Studio Team / Both).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b/>
                <w:sz w:val="19"/>
              </w:rPr>
              <w:t>Sequence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Steps 1–4: eParts provides P1 data.  Steps 5–6: Team builds rule engine and trains model.  Steps 7–9: End-to-end demo, human review testing, first retraining cycle.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i/>
          <w:color w:val="888888"/>
          <w:sz w:val="18"/>
        </w:rPr>
        <w:t>MSE Studio 2026 — eParts Services Project Team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