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DC3608" w14:textId="3E0CA069" w:rsidR="006B2ECC" w:rsidRPr="00C60FE9" w:rsidRDefault="006B2ECC" w:rsidP="006B2ECC">
      <w:pPr>
        <w:spacing w:before="100" w:beforeAutospacing="1" w:after="100" w:afterAutospacing="1" w:line="240" w:lineRule="auto"/>
        <w:rPr>
          <w:rFonts w:ascii="Times New Roman" w:eastAsia="Times New Roman" w:hAnsi="Times New Roman" w:cs="Times New Roman"/>
          <w:kern w:val="0"/>
          <w:u w:val="single"/>
          <w14:ligatures w14:val="none"/>
        </w:rPr>
      </w:pPr>
      <w:r w:rsidRPr="00C60FE9">
        <w:rPr>
          <w:rFonts w:ascii="Times New Roman" w:eastAsia="Times New Roman" w:hAnsi="Times New Roman" w:cs="Times New Roman"/>
          <w:b/>
          <w:bCs/>
          <w:kern w:val="0"/>
          <w:u w:val="single"/>
          <w14:ligatures w14:val="none"/>
        </w:rPr>
        <w:t xml:space="preserve">Question 1: </w:t>
      </w:r>
    </w:p>
    <w:p w14:paraId="51119AA3"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Quality refers to firm characteristics that investors should be willing to pay more for, holding other things equal. A high-quality firm generates strong profits, sustains or improves its profitability, and has relatively safe operations and financing. These characteristics matter because they affect the level, growth, and uncertainty of future cash flows.</w:t>
      </w:r>
    </w:p>
    <w:p w14:paraId="2B662EDD"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However, a better company does not automatically offer a higher expected stock return. Expected returns also depend on the price paid. If investors fully recognize a firm’s quality, its stock should command a higher price. Moreover, if its cash flows carry less systematic risk, investors may accept a lower expected return.</w:t>
      </w:r>
    </w:p>
    <w:p w14:paraId="0A20B15A"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Therefore, it is intuitive that quality should affect valuation, but it is less obvious that high-quality stocks should earn higher risk-adjusted returns. Such a premium could reflect risks omitted from standard models, investors underestimating the persistence of profitability, or constraints that prevent investors from eliminating pricing differences. The surprising finding is that firms that appear safer can nevertheless deliver higher risk-adjusted returns.</w:t>
      </w:r>
    </w:p>
    <w:p w14:paraId="23406DBD" w14:textId="781E835D" w:rsidR="006B2ECC" w:rsidRPr="00C60FE9" w:rsidRDefault="006B2ECC" w:rsidP="006B2ECC">
      <w:pPr>
        <w:spacing w:before="100" w:beforeAutospacing="1" w:after="100" w:afterAutospacing="1" w:line="240" w:lineRule="auto"/>
        <w:rPr>
          <w:rFonts w:ascii="Times New Roman" w:eastAsia="Times New Roman" w:hAnsi="Times New Roman" w:cs="Times New Roman"/>
          <w:kern w:val="0"/>
          <w:u w:val="single"/>
          <w14:ligatures w14:val="none"/>
        </w:rPr>
      </w:pPr>
      <w:r w:rsidRPr="00C60FE9">
        <w:rPr>
          <w:rFonts w:ascii="Times New Roman" w:eastAsia="Times New Roman" w:hAnsi="Times New Roman" w:cs="Times New Roman"/>
          <w:b/>
          <w:bCs/>
          <w:kern w:val="0"/>
          <w:u w:val="single"/>
          <w14:ligatures w14:val="none"/>
        </w:rPr>
        <w:t xml:space="preserve">Question 2: </w:t>
      </w:r>
    </w:p>
    <w:p w14:paraId="79BEAD4B" w14:textId="1F68B3D9"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 xml:space="preserve">Quality </w:t>
      </w:r>
      <w:r>
        <w:rPr>
          <w:rFonts w:ascii="Times New Roman" w:eastAsia="Times New Roman" w:hAnsi="Times New Roman" w:cs="Times New Roman"/>
          <w:kern w:val="0"/>
          <w14:ligatures w14:val="none"/>
        </w:rPr>
        <w:t>is</w:t>
      </w:r>
      <w:r w:rsidRPr="006B2ECC">
        <w:rPr>
          <w:rFonts w:ascii="Times New Roman" w:eastAsia="Times New Roman" w:hAnsi="Times New Roman" w:cs="Times New Roman"/>
          <w:kern w:val="0"/>
          <w14:ligatures w14:val="none"/>
        </w:rPr>
        <w:t xml:space="preserve"> measured through proxies:</w:t>
      </w:r>
    </w:p>
    <w:tbl>
      <w:tblPr>
        <w:tblStyle w:val="TableGrid"/>
        <w:tblW w:w="0" w:type="auto"/>
        <w:tblLook w:val="04A0" w:firstRow="1" w:lastRow="0" w:firstColumn="1" w:lastColumn="0" w:noHBand="0" w:noVBand="1"/>
      </w:tblPr>
      <w:tblGrid>
        <w:gridCol w:w="1376"/>
        <w:gridCol w:w="4917"/>
        <w:gridCol w:w="3057"/>
      </w:tblGrid>
      <w:tr w:rsidR="006B2ECC" w:rsidRPr="006B2ECC" w14:paraId="47E0B9E7" w14:textId="77777777" w:rsidTr="006B2ECC">
        <w:tc>
          <w:tcPr>
            <w:tcW w:w="0" w:type="auto"/>
            <w:hideMark/>
          </w:tcPr>
          <w:p w14:paraId="230B1AF2" w14:textId="77777777" w:rsidR="006B2ECC" w:rsidRPr="006B2ECC" w:rsidRDefault="006B2ECC" w:rsidP="006B2ECC">
            <w:pPr>
              <w:jc w:val="center"/>
              <w:rPr>
                <w:rFonts w:ascii="Times New Roman" w:eastAsia="Times New Roman" w:hAnsi="Times New Roman" w:cs="Times New Roman"/>
                <w:b/>
                <w:bCs/>
                <w:kern w:val="0"/>
                <w14:ligatures w14:val="none"/>
              </w:rPr>
            </w:pPr>
            <w:r w:rsidRPr="006B2ECC">
              <w:rPr>
                <w:rFonts w:ascii="Times New Roman" w:eastAsia="Times New Roman" w:hAnsi="Times New Roman" w:cs="Times New Roman"/>
                <w:b/>
                <w:bCs/>
                <w:kern w:val="0"/>
                <w14:ligatures w14:val="none"/>
              </w:rPr>
              <w:t>Dimension</w:t>
            </w:r>
          </w:p>
        </w:tc>
        <w:tc>
          <w:tcPr>
            <w:tcW w:w="0" w:type="auto"/>
            <w:hideMark/>
          </w:tcPr>
          <w:p w14:paraId="7C1583C3" w14:textId="77777777" w:rsidR="006B2ECC" w:rsidRPr="006B2ECC" w:rsidRDefault="006B2ECC" w:rsidP="006B2ECC">
            <w:pPr>
              <w:jc w:val="center"/>
              <w:rPr>
                <w:rFonts w:ascii="Times New Roman" w:eastAsia="Times New Roman" w:hAnsi="Times New Roman" w:cs="Times New Roman"/>
                <w:b/>
                <w:bCs/>
                <w:kern w:val="0"/>
                <w14:ligatures w14:val="none"/>
              </w:rPr>
            </w:pPr>
            <w:r w:rsidRPr="006B2ECC">
              <w:rPr>
                <w:rFonts w:ascii="Times New Roman" w:eastAsia="Times New Roman" w:hAnsi="Times New Roman" w:cs="Times New Roman"/>
                <w:b/>
                <w:bCs/>
                <w:kern w:val="0"/>
                <w14:ligatures w14:val="none"/>
              </w:rPr>
              <w:t>Examples of measures</w:t>
            </w:r>
          </w:p>
        </w:tc>
        <w:tc>
          <w:tcPr>
            <w:tcW w:w="0" w:type="auto"/>
            <w:hideMark/>
          </w:tcPr>
          <w:p w14:paraId="606CC57A" w14:textId="77777777" w:rsidR="006B2ECC" w:rsidRPr="006B2ECC" w:rsidRDefault="006B2ECC" w:rsidP="006B2ECC">
            <w:pPr>
              <w:jc w:val="center"/>
              <w:rPr>
                <w:rFonts w:ascii="Times New Roman" w:eastAsia="Times New Roman" w:hAnsi="Times New Roman" w:cs="Times New Roman"/>
                <w:b/>
                <w:bCs/>
                <w:kern w:val="0"/>
                <w14:ligatures w14:val="none"/>
              </w:rPr>
            </w:pPr>
            <w:r w:rsidRPr="006B2ECC">
              <w:rPr>
                <w:rFonts w:ascii="Times New Roman" w:eastAsia="Times New Roman" w:hAnsi="Times New Roman" w:cs="Times New Roman"/>
                <w:b/>
                <w:bCs/>
                <w:kern w:val="0"/>
                <w14:ligatures w14:val="none"/>
              </w:rPr>
              <w:t>What it captures</w:t>
            </w:r>
          </w:p>
        </w:tc>
      </w:tr>
      <w:tr w:rsidR="006B2ECC" w:rsidRPr="006B2ECC" w14:paraId="5D07C961" w14:textId="77777777" w:rsidTr="006B2ECC">
        <w:tc>
          <w:tcPr>
            <w:tcW w:w="0" w:type="auto"/>
            <w:hideMark/>
          </w:tcPr>
          <w:p w14:paraId="1348B1EE"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Profitability</w:t>
            </w:r>
          </w:p>
        </w:tc>
        <w:tc>
          <w:tcPr>
            <w:tcW w:w="0" w:type="auto"/>
            <w:hideMark/>
          </w:tcPr>
          <w:p w14:paraId="66DEB739"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Gross profits relative to assets, operating profits relative to book equity, cash-flow profitability</w:t>
            </w:r>
          </w:p>
        </w:tc>
        <w:tc>
          <w:tcPr>
            <w:tcW w:w="0" w:type="auto"/>
            <w:hideMark/>
          </w:tcPr>
          <w:p w14:paraId="0927F5A7"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The firm’s ability to generate profits from its resources</w:t>
            </w:r>
          </w:p>
        </w:tc>
      </w:tr>
      <w:tr w:rsidR="006B2ECC" w:rsidRPr="006B2ECC" w14:paraId="0A6FD305" w14:textId="77777777" w:rsidTr="006B2ECC">
        <w:tc>
          <w:tcPr>
            <w:tcW w:w="0" w:type="auto"/>
            <w:hideMark/>
          </w:tcPr>
          <w:p w14:paraId="0EC5738B"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Growth</w:t>
            </w:r>
          </w:p>
        </w:tc>
        <w:tc>
          <w:tcPr>
            <w:tcW w:w="0" w:type="auto"/>
            <w:hideMark/>
          </w:tcPr>
          <w:p w14:paraId="47EE6527"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Historical improvements in profitability</w:t>
            </w:r>
          </w:p>
        </w:tc>
        <w:tc>
          <w:tcPr>
            <w:tcW w:w="0" w:type="auto"/>
            <w:hideMark/>
          </w:tcPr>
          <w:p w14:paraId="1FAB51DA"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Whether the firm’s earning capacity is improving</w:t>
            </w:r>
          </w:p>
        </w:tc>
      </w:tr>
      <w:tr w:rsidR="006B2ECC" w:rsidRPr="006B2ECC" w14:paraId="15A11C28" w14:textId="77777777" w:rsidTr="006B2ECC">
        <w:tc>
          <w:tcPr>
            <w:tcW w:w="0" w:type="auto"/>
            <w:hideMark/>
          </w:tcPr>
          <w:p w14:paraId="7EFF0A7B"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Safety</w:t>
            </w:r>
          </w:p>
        </w:tc>
        <w:tc>
          <w:tcPr>
            <w:tcW w:w="0" w:type="auto"/>
            <w:hideMark/>
          </w:tcPr>
          <w:p w14:paraId="1941FC35"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Low leverage, stable earnings, low market beta, low default risk</w:t>
            </w:r>
          </w:p>
        </w:tc>
        <w:tc>
          <w:tcPr>
            <w:tcW w:w="0" w:type="auto"/>
            <w:hideMark/>
          </w:tcPr>
          <w:p w14:paraId="137549E9"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The reliability of profits and resilience of the firm</w:t>
            </w:r>
          </w:p>
        </w:tc>
      </w:tr>
    </w:tbl>
    <w:p w14:paraId="60C1D9F6"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There is no uniquely correct measure because these characteristics capture different aspects of quality. A firm can have high current profitability but substantial leverage, or stable earnings but little growth. Accounting ratios also depend on industry structure and accounting treatment. For example, expensing research and development can reduce reported profitability even when it creates valuable future opportunities.</w:t>
      </w:r>
    </w:p>
    <w:p w14:paraId="07D38B63"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A reasonable measure should have an economic interpretation, use information available when the portfolio is formed, and remain informative across firms and periods. A composite can capture quality more broadly, but its choice of variables and weights introduces judgment. A simple profitability ratio is easier to interpret, although it necessarily leaves out other dimensions.</w:t>
      </w:r>
    </w:p>
    <w:p w14:paraId="36116A44" w14:textId="77777777" w:rsidR="006B2ECC" w:rsidRDefault="006B2ECC" w:rsidP="006B2ECC">
      <w:pPr>
        <w:spacing w:before="100" w:beforeAutospacing="1" w:after="100" w:afterAutospacing="1" w:line="240" w:lineRule="auto"/>
        <w:rPr>
          <w:rFonts w:ascii="Times New Roman" w:eastAsia="Times New Roman" w:hAnsi="Times New Roman" w:cs="Times New Roman"/>
          <w:b/>
          <w:bCs/>
          <w:kern w:val="0"/>
          <w14:ligatures w14:val="none"/>
        </w:rPr>
      </w:pPr>
    </w:p>
    <w:p w14:paraId="3FF9640D" w14:textId="77777777" w:rsidR="006B2ECC" w:rsidRDefault="006B2ECC" w:rsidP="006B2ECC">
      <w:pPr>
        <w:spacing w:before="100" w:beforeAutospacing="1" w:after="100" w:afterAutospacing="1" w:line="240" w:lineRule="auto"/>
        <w:rPr>
          <w:rFonts w:ascii="Times New Roman" w:eastAsia="Times New Roman" w:hAnsi="Times New Roman" w:cs="Times New Roman"/>
          <w:b/>
          <w:bCs/>
          <w:kern w:val="0"/>
          <w14:ligatures w14:val="none"/>
        </w:rPr>
      </w:pPr>
    </w:p>
    <w:p w14:paraId="59970059" w14:textId="7984D64F" w:rsidR="006B2ECC" w:rsidRPr="00C60FE9" w:rsidRDefault="006B2ECC" w:rsidP="006B2ECC">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C60FE9">
        <w:rPr>
          <w:rFonts w:ascii="Times New Roman" w:eastAsia="Times New Roman" w:hAnsi="Times New Roman" w:cs="Times New Roman"/>
          <w:b/>
          <w:bCs/>
          <w:kern w:val="0"/>
          <w:u w:val="single"/>
          <w14:ligatures w14:val="none"/>
        </w:rPr>
        <w:lastRenderedPageBreak/>
        <w:t xml:space="preserve">Question 3: </w:t>
      </w:r>
    </w:p>
    <w:p w14:paraId="4F94ED1F"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1794"/>
        <w:gridCol w:w="4528"/>
        <w:gridCol w:w="3028"/>
      </w:tblGrid>
      <w:tr w:rsidR="006B2ECC" w:rsidRPr="006B2ECC" w14:paraId="1BCCCE1A" w14:textId="77777777" w:rsidTr="006B2ECC">
        <w:tc>
          <w:tcPr>
            <w:tcW w:w="0" w:type="auto"/>
            <w:hideMark/>
          </w:tcPr>
          <w:p w14:paraId="10F536B1" w14:textId="77777777" w:rsidR="006B2ECC" w:rsidRPr="006B2ECC" w:rsidRDefault="006B2ECC" w:rsidP="006B2ECC">
            <w:pPr>
              <w:jc w:val="center"/>
              <w:rPr>
                <w:rFonts w:ascii="Times New Roman" w:eastAsia="Times New Roman" w:hAnsi="Times New Roman" w:cs="Times New Roman"/>
                <w:b/>
                <w:bCs/>
                <w:kern w:val="0"/>
                <w14:ligatures w14:val="none"/>
              </w:rPr>
            </w:pPr>
            <w:r w:rsidRPr="006B2ECC">
              <w:rPr>
                <w:rFonts w:ascii="Times New Roman" w:eastAsia="Times New Roman" w:hAnsi="Times New Roman" w:cs="Times New Roman"/>
                <w:b/>
                <w:bCs/>
                <w:kern w:val="0"/>
                <w14:ligatures w14:val="none"/>
              </w:rPr>
              <w:t>Approach</w:t>
            </w:r>
          </w:p>
        </w:tc>
        <w:tc>
          <w:tcPr>
            <w:tcW w:w="0" w:type="auto"/>
            <w:hideMark/>
          </w:tcPr>
          <w:p w14:paraId="2A3FEE68" w14:textId="77777777" w:rsidR="006B2ECC" w:rsidRPr="006B2ECC" w:rsidRDefault="006B2ECC" w:rsidP="006B2ECC">
            <w:pPr>
              <w:jc w:val="center"/>
              <w:rPr>
                <w:rFonts w:ascii="Times New Roman" w:eastAsia="Times New Roman" w:hAnsi="Times New Roman" w:cs="Times New Roman"/>
                <w:b/>
                <w:bCs/>
                <w:kern w:val="0"/>
                <w14:ligatures w14:val="none"/>
              </w:rPr>
            </w:pPr>
            <w:r w:rsidRPr="006B2ECC">
              <w:rPr>
                <w:rFonts w:ascii="Times New Roman" w:eastAsia="Times New Roman" w:hAnsi="Times New Roman" w:cs="Times New Roman"/>
                <w:b/>
                <w:bCs/>
                <w:kern w:val="0"/>
                <w14:ligatures w14:val="none"/>
              </w:rPr>
              <w:t>Measurement and construction</w:t>
            </w:r>
          </w:p>
        </w:tc>
        <w:tc>
          <w:tcPr>
            <w:tcW w:w="0" w:type="auto"/>
            <w:hideMark/>
          </w:tcPr>
          <w:p w14:paraId="71A9D7E8" w14:textId="77777777" w:rsidR="006B2ECC" w:rsidRPr="006B2ECC" w:rsidRDefault="006B2ECC" w:rsidP="006B2ECC">
            <w:pPr>
              <w:jc w:val="center"/>
              <w:rPr>
                <w:rFonts w:ascii="Times New Roman" w:eastAsia="Times New Roman" w:hAnsi="Times New Roman" w:cs="Times New Roman"/>
                <w:b/>
                <w:bCs/>
                <w:kern w:val="0"/>
                <w14:ligatures w14:val="none"/>
              </w:rPr>
            </w:pPr>
            <w:r w:rsidRPr="006B2ECC">
              <w:rPr>
                <w:rFonts w:ascii="Times New Roman" w:eastAsia="Times New Roman" w:hAnsi="Times New Roman" w:cs="Times New Roman"/>
                <w:b/>
                <w:bCs/>
                <w:kern w:val="0"/>
                <w14:ligatures w14:val="none"/>
              </w:rPr>
              <w:t>Main distinction</w:t>
            </w:r>
          </w:p>
        </w:tc>
      </w:tr>
      <w:tr w:rsidR="006B2ECC" w:rsidRPr="006B2ECC" w14:paraId="0F8AC988" w14:textId="77777777" w:rsidTr="006B2ECC">
        <w:tc>
          <w:tcPr>
            <w:tcW w:w="0" w:type="auto"/>
            <w:hideMark/>
          </w:tcPr>
          <w:p w14:paraId="1B0B87CD"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b/>
                <w:bCs/>
                <w:kern w:val="0"/>
                <w14:ligatures w14:val="none"/>
              </w:rPr>
              <w:t>Novy-Marx: gross profitability</w:t>
            </w:r>
          </w:p>
        </w:tc>
        <w:tc>
          <w:tcPr>
            <w:tcW w:w="0" w:type="auto"/>
            <w:hideMark/>
          </w:tcPr>
          <w:p w14:paraId="24657A79" w14:textId="4382E58A"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Gross profits divided by total assets: (Revenue</w:t>
            </w:r>
            <w:r>
              <w:rPr>
                <w:rFonts w:ascii="Times New Roman" w:eastAsia="Times New Roman" w:hAnsi="Times New Roman" w:cs="Times New Roman"/>
                <w:kern w:val="0"/>
                <w14:ligatures w14:val="none"/>
              </w:rPr>
              <w:t xml:space="preserve"> – </w:t>
            </w:r>
            <w:r w:rsidRPr="006B2ECC">
              <w:rPr>
                <w:rFonts w:ascii="Times New Roman" w:eastAsia="Times New Roman" w:hAnsi="Times New Roman" w:cs="Times New Roman"/>
                <w:kern w:val="0"/>
                <w14:ligatures w14:val="none"/>
              </w:rPr>
              <w:t>COGS</w:t>
            </w:r>
            <w:r>
              <w:rPr>
                <w:rFonts w:ascii="Times New Roman" w:eastAsia="Times New Roman" w:hAnsi="Times New Roman" w:cs="Times New Roman"/>
                <w:kern w:val="0"/>
                <w14:ligatures w14:val="none"/>
              </w:rPr>
              <w:t>) /</w:t>
            </w:r>
            <w:r w:rsidRPr="006B2EC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w:t>
            </w:r>
            <w:r w:rsidRPr="006B2ECC">
              <w:rPr>
                <w:rFonts w:ascii="Times New Roman" w:eastAsia="Times New Roman" w:hAnsi="Times New Roman" w:cs="Times New Roman"/>
                <w:kern w:val="0"/>
                <w14:ligatures w14:val="none"/>
              </w:rPr>
              <w:t>otal assets).</w:t>
            </w:r>
          </w:p>
        </w:tc>
        <w:tc>
          <w:tcPr>
            <w:tcW w:w="0" w:type="auto"/>
            <w:hideMark/>
          </w:tcPr>
          <w:p w14:paraId="641833DE"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Measures profitability before deducting expenses such as SG&amp;A and interest. It is gross, not net, profitability.</w:t>
            </w:r>
          </w:p>
        </w:tc>
      </w:tr>
      <w:tr w:rsidR="006B2ECC" w:rsidRPr="006B2ECC" w14:paraId="336F5D3D" w14:textId="77777777" w:rsidTr="006B2ECC">
        <w:tc>
          <w:tcPr>
            <w:tcW w:w="0" w:type="auto"/>
            <w:hideMark/>
          </w:tcPr>
          <w:p w14:paraId="5A621FE0"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b/>
                <w:bCs/>
                <w:kern w:val="0"/>
                <w14:ligatures w14:val="none"/>
              </w:rPr>
              <w:t>Frazzini–Pedersen: BAB</w:t>
            </w:r>
          </w:p>
        </w:tc>
        <w:tc>
          <w:tcPr>
            <w:tcW w:w="0" w:type="auto"/>
            <w:hideMark/>
          </w:tcPr>
          <w:p w14:paraId="016DBA6E"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Sorts securities by estimated market beta, goes long low-beta assets and short high-beta assets, and scales the two legs to target offsetting market exposures.</w:t>
            </w:r>
          </w:p>
        </w:tc>
        <w:tc>
          <w:tcPr>
            <w:tcW w:w="0" w:type="auto"/>
            <w:hideMark/>
          </w:tcPr>
          <w:p w14:paraId="6995D092"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A strategy based on beta and leverage constraints, not a fundamental quality screen.</w:t>
            </w:r>
          </w:p>
        </w:tc>
      </w:tr>
      <w:tr w:rsidR="006B2ECC" w:rsidRPr="006B2ECC" w14:paraId="1A7B03D2" w14:textId="77777777" w:rsidTr="006B2ECC">
        <w:tc>
          <w:tcPr>
            <w:tcW w:w="0" w:type="auto"/>
            <w:hideMark/>
          </w:tcPr>
          <w:p w14:paraId="5258B730" w14:textId="77777777" w:rsidR="006B2ECC" w:rsidRPr="006B2ECC" w:rsidRDefault="006B2ECC" w:rsidP="006B2ECC">
            <w:pPr>
              <w:rPr>
                <w:rFonts w:ascii="Times New Roman" w:eastAsia="Times New Roman" w:hAnsi="Times New Roman" w:cs="Times New Roman"/>
                <w:kern w:val="0"/>
                <w14:ligatures w14:val="none"/>
              </w:rPr>
            </w:pPr>
            <w:proofErr w:type="spellStart"/>
            <w:r w:rsidRPr="006B2ECC">
              <w:rPr>
                <w:rFonts w:ascii="Times New Roman" w:eastAsia="Times New Roman" w:hAnsi="Times New Roman" w:cs="Times New Roman"/>
                <w:b/>
                <w:bCs/>
                <w:kern w:val="0"/>
                <w14:ligatures w14:val="none"/>
              </w:rPr>
              <w:t>Asness</w:t>
            </w:r>
            <w:proofErr w:type="spellEnd"/>
            <w:r w:rsidRPr="006B2ECC">
              <w:rPr>
                <w:rFonts w:ascii="Times New Roman" w:eastAsia="Times New Roman" w:hAnsi="Times New Roman" w:cs="Times New Roman"/>
                <w:b/>
                <w:bCs/>
                <w:kern w:val="0"/>
                <w14:ligatures w14:val="none"/>
              </w:rPr>
              <w:t>–Frazzini–Pedersen: QMJ</w:t>
            </w:r>
          </w:p>
        </w:tc>
        <w:tc>
          <w:tcPr>
            <w:tcW w:w="0" w:type="auto"/>
            <w:hideMark/>
          </w:tcPr>
          <w:p w14:paraId="307897F6"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Combines standardized measures of profitability, growth, and safety, then buys high-quality firms and shorts low-quality firms.</w:t>
            </w:r>
          </w:p>
        </w:tc>
        <w:tc>
          <w:tcPr>
            <w:tcW w:w="0" w:type="auto"/>
            <w:hideMark/>
          </w:tcPr>
          <w:p w14:paraId="1D6A84F2"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A multidimensional measure of quality rather than a single profitability signal.</w:t>
            </w:r>
          </w:p>
        </w:tc>
      </w:tr>
      <w:tr w:rsidR="006B2ECC" w:rsidRPr="006B2ECC" w14:paraId="22B8D981" w14:textId="77777777" w:rsidTr="006B2ECC">
        <w:tc>
          <w:tcPr>
            <w:tcW w:w="0" w:type="auto"/>
            <w:hideMark/>
          </w:tcPr>
          <w:p w14:paraId="7C4E42D6"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b/>
                <w:bCs/>
                <w:kern w:val="0"/>
                <w14:ligatures w14:val="none"/>
              </w:rPr>
              <w:t>Fama–French: profitability and investment</w:t>
            </w:r>
          </w:p>
        </w:tc>
        <w:tc>
          <w:tcPr>
            <w:tcW w:w="0" w:type="auto"/>
            <w:hideMark/>
          </w:tcPr>
          <w:p w14:paraId="61670ABE"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Operating profitability is revenues minus COGS, SG&amp;A, and interest expense, divided by book equity. RMW buys robust-profitability firms and shorts weak-profitability firms. CMA separately buys low-investment firms and shorts high-investment firms, measuring investment through asset growth.</w:t>
            </w:r>
          </w:p>
        </w:tc>
        <w:tc>
          <w:tcPr>
            <w:tcW w:w="0" w:type="auto"/>
            <w:hideMark/>
          </w:tcPr>
          <w:p w14:paraId="491416BB" w14:textId="77777777" w:rsidR="006B2ECC" w:rsidRPr="006B2ECC" w:rsidRDefault="006B2ECC" w:rsidP="006B2ECC">
            <w:pPr>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RMW measures profitability; CMA measures investment. They are distinct factors, and neither is a comprehensive quality score.</w:t>
            </w:r>
          </w:p>
        </w:tc>
      </w:tr>
    </w:tbl>
    <w:p w14:paraId="287CEDFA" w14:textId="0FBCF0BD"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 xml:space="preserve">The BAB construction explicitly separates low beta from fundamental quality. Its overlap with defensive, profitable firms is empirical rather than definitional. Similarly, Fama–French distinguish RMW from CMA rather than treating investment as another name for profitability. </w:t>
      </w:r>
    </w:p>
    <w:p w14:paraId="5BC24791"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b/>
          <w:bCs/>
          <w:kern w:val="0"/>
          <w14:ligatures w14:val="none"/>
        </w:rPr>
        <w:t>Which measure is more reasonable?</w:t>
      </w:r>
    </w:p>
    <w:p w14:paraId="474064E9"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As a measure of overall firm quality, I would rank QMJ first, gross profitability second, RMW third, and BAB fourth. QMJ best matches the broad concept because it considers whether profits are strong, improving, and relatively safe. Its weakness is that combining many signals makes the result depend on the selected variables and weights.</w:t>
      </w:r>
    </w:p>
    <w:p w14:paraId="0C6C1351"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I prefer gross profitability as a simple standalone measure because it is transparent and avoids penalizing firms for some expenditures that may support future growth. However, ignoring operating expenses can also overstate the attractiveness of businesses with persistently high overhead. RMW accounts for more costs and therefore provides a useful alternative, although its dependence on book equity and financing expenses complicates comparisons across firms.</w:t>
      </w:r>
    </w:p>
    <w:p w14:paraId="292DC7A5" w14:textId="0DC2ED9A"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 xml:space="preserve">BAB ranks last as a measure of fundamental quality, </w:t>
      </w:r>
      <w:r>
        <w:rPr>
          <w:rFonts w:ascii="Times New Roman" w:eastAsia="Times New Roman" w:hAnsi="Times New Roman" w:cs="Times New Roman"/>
          <w:kern w:val="0"/>
          <w14:ligatures w14:val="none"/>
        </w:rPr>
        <w:t>since</w:t>
      </w:r>
      <w:r w:rsidRPr="006B2ECC">
        <w:rPr>
          <w:rFonts w:ascii="Times New Roman" w:eastAsia="Times New Roman" w:hAnsi="Times New Roman" w:cs="Times New Roman"/>
          <w:kern w:val="0"/>
          <w14:ligatures w14:val="none"/>
        </w:rPr>
        <w:t xml:space="preserve"> low beta alone does not establish that a business is profitable or financially sound. This ranking does not imply that BAB is an inferior </w:t>
      </w:r>
      <w:r w:rsidRPr="006B2ECC">
        <w:rPr>
          <w:rFonts w:ascii="Times New Roman" w:eastAsia="Times New Roman" w:hAnsi="Times New Roman" w:cs="Times New Roman"/>
          <w:kern w:val="0"/>
          <w14:ligatures w14:val="none"/>
        </w:rPr>
        <w:lastRenderedPageBreak/>
        <w:t>investment strategy. Likewise, conservative investment is not automatically good management: a firm may invest little because it lacks attractive opportunities.</w:t>
      </w:r>
    </w:p>
    <w:p w14:paraId="5C50C7C7"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b/>
          <w:bCs/>
          <w:kern w:val="0"/>
          <w14:ligatures w14:val="none"/>
        </w:rPr>
        <w:t>Why might these measures predict returns?</w:t>
      </w:r>
    </w:p>
    <w:p w14:paraId="220CF809"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For gross profitability and RMW, valuation provides a conditional argument: holding valuation ratios and expected investment fixed, higher expected profitability implies a higher expected return. Historical profitability can predict returns if it forecasts future profitability. Alternatively, investors may underestimate how persistent strong profitability is, causing profitable firms to be undervalued.</w:t>
      </w:r>
    </w:p>
    <w:p w14:paraId="66942378" w14:textId="52632D1E"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 xml:space="preserve">For QMJ, investors may recognize quality but pay too little for its benefits. If durable profitability and safety are insufficiently reflected in prices, quality stocks can subsequently outperform junk stocks. The QMJ paper’s evidence that the price of quality predicts subsequent returns supports the importance of valuation, rather than assuming quality is attractive at any price. </w:t>
      </w:r>
    </w:p>
    <w:p w14:paraId="5C21A741" w14:textId="0A21EBE4"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 xml:space="preserve">For BAB, investors who cannot or will not borrow may favor high-beta stocks to obtain greater market exposure. This demand raises high-beta stocks’ prices and reduces their subsequent returns relative to their beta. Investors able to leverage low-beta stocks can exploit the resulting flatter security market line, although funding constraints make the strategy risky to maintain. </w:t>
      </w:r>
    </w:p>
    <w:p w14:paraId="121A61B3"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For CMA, holding profitability and valuation fixed, greater expected investment reduces cash available for distribution and is associated with lower expected returns. A behavioral alternative is that investors become overly optimistic about aggressively expanding firms.</w:t>
      </w:r>
    </w:p>
    <w:p w14:paraId="1922D7E3"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b/>
          <w:bCs/>
          <w:kern w:val="0"/>
          <w14:ligatures w14:val="none"/>
        </w:rPr>
        <w:t>Are these explanations consistent with market efficiency?</w:t>
      </w:r>
    </w:p>
    <w:p w14:paraId="68C0DA5B" w14:textId="77777777" w:rsidR="006B2ECC" w:rsidRP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Risk compensation is consistent with an efficient market, but calling a characteristic a “factor” does not establish that its premium compensates for risk. A convincing risk explanation must identify exposure to economically adverse states. Valuation relationships alone also do not explain why required returns differ.</w:t>
      </w:r>
    </w:p>
    <w:p w14:paraId="4985CC6B" w14:textId="77777777" w:rsidR="006B2ECC" w:rsidRDefault="006B2ECC" w:rsidP="006B2ECC">
      <w:pPr>
        <w:spacing w:before="100" w:beforeAutospacing="1" w:after="100" w:afterAutospacing="1" w:line="240" w:lineRule="auto"/>
        <w:rPr>
          <w:rFonts w:ascii="Times New Roman" w:eastAsia="Times New Roman" w:hAnsi="Times New Roman" w:cs="Times New Roman"/>
          <w:kern w:val="0"/>
          <w14:ligatures w14:val="none"/>
        </w:rPr>
      </w:pPr>
      <w:r w:rsidRPr="006B2ECC">
        <w:rPr>
          <w:rFonts w:ascii="Times New Roman" w:eastAsia="Times New Roman" w:hAnsi="Times New Roman" w:cs="Times New Roman"/>
          <w:kern w:val="0"/>
          <w14:ligatures w14:val="none"/>
        </w:rPr>
        <w:t>Underreaction and excessive optimism imply that public information is not fully reflected in prices and therefore challenge semi-strong efficiency. BAB can arise in a rational equilibrium with borrowing constraints, so its returns need not imply investor irrationality, although they contradict the frictionless CAPM. Overall, the measures identify return patterns; distinguishing risk compensation from mispricing requires additional evidence.</w:t>
      </w:r>
    </w:p>
    <w:p w14:paraId="23598338" w14:textId="50455DEA" w:rsidR="00C60FE9" w:rsidRPr="00C60FE9" w:rsidRDefault="00C60FE9" w:rsidP="006B2ECC">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C60FE9">
        <w:rPr>
          <w:rFonts w:ascii="Times New Roman" w:eastAsia="Times New Roman" w:hAnsi="Times New Roman" w:cs="Times New Roman"/>
          <w:b/>
          <w:bCs/>
          <w:kern w:val="0"/>
          <w:u w:val="single"/>
          <w14:ligatures w14:val="none"/>
        </w:rPr>
        <w:t>AI integration</w:t>
      </w:r>
    </w:p>
    <w:p w14:paraId="09D388E1" w14:textId="29528C95" w:rsidR="00C60FE9" w:rsidRDefault="00C60FE9" w:rsidP="00C60FE9">
      <w:pPr>
        <w:pStyle w:val="NormalWeb"/>
      </w:pPr>
      <w:r>
        <w:t>1. Novy-Marx: Quality is measured by gross profitability (revenue minus cost of goods sold, divided by total assets), capturing how efficiently a firm generates profits from its assets.</w:t>
      </w:r>
    </w:p>
    <w:p w14:paraId="1336C847" w14:textId="6561AD69" w:rsidR="00C60FE9" w:rsidRDefault="00C60FE9" w:rsidP="00C60FE9">
      <w:pPr>
        <w:pStyle w:val="NormalWeb"/>
      </w:pPr>
      <w:r>
        <w:lastRenderedPageBreak/>
        <w:t>2. Frazzini and Pedersen</w:t>
      </w:r>
      <w:r>
        <w:t xml:space="preserve">: </w:t>
      </w:r>
      <w:r>
        <w:t>BAB measures defensiveness through market beta rather than fundamental quality, exploiting leverage constraints by taking leveraged long positions in low-beta assets and short positions in high-beta assets.</w:t>
      </w:r>
    </w:p>
    <w:p w14:paraId="37AE0989" w14:textId="3685A1FD" w:rsidR="00C60FE9" w:rsidRDefault="00C60FE9" w:rsidP="00C60FE9">
      <w:pPr>
        <w:pStyle w:val="NormalWeb"/>
      </w:pPr>
      <w:r>
        <w:t xml:space="preserve">3. </w:t>
      </w:r>
      <w:proofErr w:type="spellStart"/>
      <w:r>
        <w:t>Asness</w:t>
      </w:r>
      <w:proofErr w:type="spellEnd"/>
      <w:r>
        <w:t xml:space="preserve">, Frazzini, and </w:t>
      </w:r>
      <w:proofErr w:type="gramStart"/>
      <w:r>
        <w:t>Pedersen :</w:t>
      </w:r>
      <w:proofErr w:type="gramEnd"/>
      <w:r>
        <w:t xml:space="preserve"> QMJ defines quality through profitability, growth, and safety, combining these dimensions to construct a strategy that buys high-quality firms and shorts low-quality firms.</w:t>
      </w:r>
    </w:p>
    <w:p w14:paraId="2AB09A06" w14:textId="1BE490F5" w:rsidR="00C60FE9" w:rsidRDefault="00C60FE9" w:rsidP="00C60FE9">
      <w:pPr>
        <w:pStyle w:val="NormalWeb"/>
      </w:pPr>
      <w:r>
        <w:t>4. Fama and French: RMW captures quality through operating profitability, constructing a factor that goes long firms with robust operating profitability and short firms with weak operating profitability.</w:t>
      </w:r>
    </w:p>
    <w:p w14:paraId="297D6619" w14:textId="77777777" w:rsidR="00C60FE9" w:rsidRPr="00C60FE9" w:rsidRDefault="00C60FE9" w:rsidP="006B2ECC">
      <w:pPr>
        <w:spacing w:before="100" w:beforeAutospacing="1" w:after="100" w:afterAutospacing="1" w:line="240" w:lineRule="auto"/>
        <w:rPr>
          <w:rFonts w:ascii="Times New Roman" w:eastAsia="Times New Roman" w:hAnsi="Times New Roman" w:cs="Times New Roman"/>
          <w:b/>
          <w:bCs/>
          <w:kern w:val="0"/>
          <w14:ligatures w14:val="none"/>
        </w:rPr>
      </w:pPr>
    </w:p>
    <w:p w14:paraId="026B3F72" w14:textId="5A800D4E" w:rsidR="009A4D9B" w:rsidRDefault="00C60FE9">
      <w:pPr>
        <w:rPr>
          <w:b/>
          <w:bCs/>
        </w:rPr>
      </w:pPr>
      <w:r w:rsidRPr="00C60FE9">
        <w:rPr>
          <w:b/>
          <w:bCs/>
        </w:rPr>
        <w:t>Audit:</w:t>
      </w:r>
    </w:p>
    <w:p w14:paraId="6C6B1107" w14:textId="5BEBF11F" w:rsidR="00C60FE9" w:rsidRPr="00C60FE9" w:rsidRDefault="00C60FE9">
      <w:proofErr w:type="spellStart"/>
      <w:r w:rsidRPr="00C60FE9">
        <w:t>i</w:t>
      </w:r>
      <w:proofErr w:type="spellEnd"/>
      <w:r w:rsidRPr="00C60FE9">
        <w:t>)</w:t>
      </w:r>
    </w:p>
    <w:p w14:paraId="1D1D38CA" w14:textId="77777777" w:rsidR="00C60FE9" w:rsidRPr="00C60FE9" w:rsidRDefault="00C60FE9" w:rsidP="00C60FE9">
      <w:pPr>
        <w:pStyle w:val="NormalWeb"/>
      </w:pPr>
      <w:r w:rsidRPr="00C60FE9">
        <w:t>The answer gets Novy-Marx (gross, over assets), RMW (operating profitability over book equity, not CMA), and BAB’s leverage-constraint rationale right. Errors:</w:t>
      </w:r>
    </w:p>
    <w:p w14:paraId="149D2EA9" w14:textId="113D3155" w:rsidR="00C60FE9" w:rsidRPr="00C60FE9" w:rsidRDefault="00C60FE9" w:rsidP="00C60FE9">
      <w:pPr>
        <w:numPr>
          <w:ilvl w:val="0"/>
          <w:numId w:val="1"/>
        </w:numPr>
        <w:spacing w:before="100" w:beforeAutospacing="1" w:after="100" w:afterAutospacing="1" w:line="240" w:lineRule="auto"/>
        <w:rPr>
          <w:rFonts w:ascii="Times New Roman" w:hAnsi="Times New Roman" w:cs="Times New Roman"/>
        </w:rPr>
      </w:pPr>
      <w:r w:rsidRPr="00C60FE9">
        <w:rPr>
          <w:rStyle w:val="Strong"/>
          <w:rFonts w:ascii="Times New Roman" w:hAnsi="Times New Roman" w:cs="Times New Roman"/>
          <w:b w:val="0"/>
          <w:bCs w:val="0"/>
        </w:rPr>
        <w:t>QMJ growth is growth in profitability</w:t>
      </w:r>
      <w:r w:rsidRPr="00C60FE9">
        <w:rPr>
          <w:rFonts w:ascii="Times New Roman" w:hAnsi="Times New Roman" w:cs="Times New Roman"/>
        </w:rPr>
        <w:t>, the prior five-year growth in each profitability measure, not generic earnings growth.</w:t>
      </w:r>
    </w:p>
    <w:p w14:paraId="6D13C94E" w14:textId="00C8CB5F" w:rsidR="00C60FE9" w:rsidRPr="00C60FE9" w:rsidRDefault="00C60FE9" w:rsidP="00C60FE9">
      <w:pPr>
        <w:numPr>
          <w:ilvl w:val="0"/>
          <w:numId w:val="1"/>
        </w:numPr>
        <w:spacing w:before="100" w:beforeAutospacing="1" w:after="100" w:afterAutospacing="1" w:line="240" w:lineRule="auto"/>
        <w:rPr>
          <w:rFonts w:ascii="Times New Roman" w:hAnsi="Times New Roman" w:cs="Times New Roman"/>
        </w:rPr>
      </w:pPr>
      <w:r w:rsidRPr="00C60FE9">
        <w:rPr>
          <w:rStyle w:val="Strong"/>
          <w:rFonts w:ascii="Times New Roman" w:hAnsi="Times New Roman" w:cs="Times New Roman"/>
          <w:b w:val="0"/>
          <w:bCs w:val="0"/>
        </w:rPr>
        <w:t>QMJ safety includes beta</w:t>
      </w:r>
      <w:r w:rsidRPr="00C60FE9">
        <w:rPr>
          <w:rFonts w:ascii="Times New Roman" w:hAnsi="Times New Roman" w:cs="Times New Roman"/>
        </w:rPr>
        <w:t>, not just financial safety: market beta, leverage, and bankruptcy risk (O-score, Z-score), plus profitability volatility. So QMJ’s overlap with BAB is partly built in by construction, not purely empirical.</w:t>
      </w:r>
    </w:p>
    <w:p w14:paraId="2B1EB338" w14:textId="77777777" w:rsidR="00C60FE9" w:rsidRPr="00C60FE9" w:rsidRDefault="00C60FE9" w:rsidP="00C60FE9">
      <w:pPr>
        <w:numPr>
          <w:ilvl w:val="0"/>
          <w:numId w:val="1"/>
        </w:numPr>
        <w:spacing w:before="100" w:beforeAutospacing="1" w:after="100" w:afterAutospacing="1" w:line="240" w:lineRule="auto"/>
        <w:rPr>
          <w:rFonts w:ascii="Times New Roman" w:hAnsi="Times New Roman" w:cs="Times New Roman"/>
        </w:rPr>
      </w:pPr>
      <w:r w:rsidRPr="00C60FE9">
        <w:rPr>
          <w:rStyle w:val="Strong"/>
          <w:rFonts w:ascii="Times New Roman" w:hAnsi="Times New Roman" w:cs="Times New Roman"/>
          <w:b w:val="0"/>
          <w:bCs w:val="0"/>
        </w:rPr>
        <w:t>BAB construction is incomplete.</w:t>
      </w:r>
      <w:r w:rsidRPr="00C60FE9">
        <w:rPr>
          <w:rFonts w:ascii="Times New Roman" w:hAnsi="Times New Roman" w:cs="Times New Roman"/>
        </w:rPr>
        <w:t xml:space="preserve"> It longs levered low-beta stocks and shorts </w:t>
      </w:r>
      <w:r w:rsidRPr="00C60FE9">
        <w:rPr>
          <w:rStyle w:val="Emphasis"/>
          <w:rFonts w:ascii="Times New Roman" w:hAnsi="Times New Roman" w:cs="Times New Roman"/>
        </w:rPr>
        <w:t>de-levered</w:t>
      </w:r>
      <w:r w:rsidRPr="00C60FE9">
        <w:rPr>
          <w:rFonts w:ascii="Times New Roman" w:hAnsi="Times New Roman" w:cs="Times New Roman"/>
        </w:rPr>
        <w:t xml:space="preserve"> high-beta stocks, making it beta-neutral.</w:t>
      </w:r>
    </w:p>
    <w:p w14:paraId="53CE24D0" w14:textId="77777777" w:rsidR="00C60FE9" w:rsidRPr="00C60FE9" w:rsidRDefault="00C60FE9" w:rsidP="00C60FE9">
      <w:pPr>
        <w:numPr>
          <w:ilvl w:val="0"/>
          <w:numId w:val="1"/>
        </w:numPr>
        <w:spacing w:before="100" w:beforeAutospacing="1" w:after="100" w:afterAutospacing="1" w:line="240" w:lineRule="auto"/>
        <w:rPr>
          <w:rFonts w:ascii="Times New Roman" w:hAnsi="Times New Roman" w:cs="Times New Roman"/>
        </w:rPr>
      </w:pPr>
      <w:r w:rsidRPr="00C60FE9">
        <w:rPr>
          <w:rStyle w:val="Strong"/>
          <w:rFonts w:ascii="Times New Roman" w:hAnsi="Times New Roman" w:cs="Times New Roman"/>
          <w:b w:val="0"/>
          <w:bCs w:val="0"/>
        </w:rPr>
        <w:t>“BAB measures market risk” is wrong.</w:t>
      </w:r>
      <w:r w:rsidRPr="00C60FE9">
        <w:rPr>
          <w:rFonts w:ascii="Times New Roman" w:hAnsi="Times New Roman" w:cs="Times New Roman"/>
        </w:rPr>
        <w:t xml:space="preserve"> It’s a market-neutral low-beta strategy, not a risk measure.</w:t>
      </w:r>
    </w:p>
    <w:p w14:paraId="2667259E" w14:textId="77777777" w:rsidR="00C60FE9" w:rsidRPr="00C60FE9" w:rsidRDefault="00C60FE9" w:rsidP="00C60FE9">
      <w:pPr>
        <w:numPr>
          <w:ilvl w:val="0"/>
          <w:numId w:val="1"/>
        </w:numPr>
        <w:spacing w:before="100" w:beforeAutospacing="1" w:after="100" w:afterAutospacing="1" w:line="240" w:lineRule="auto"/>
        <w:rPr>
          <w:rFonts w:ascii="Times New Roman" w:hAnsi="Times New Roman" w:cs="Times New Roman"/>
        </w:rPr>
      </w:pPr>
      <w:r w:rsidRPr="00C60FE9">
        <w:rPr>
          <w:rStyle w:val="Strong"/>
          <w:rFonts w:ascii="Times New Roman" w:hAnsi="Times New Roman" w:cs="Times New Roman"/>
          <w:b w:val="0"/>
          <w:bCs w:val="0"/>
        </w:rPr>
        <w:t>The intro contradicts itself.</w:t>
      </w:r>
      <w:r w:rsidRPr="00C60FE9">
        <w:rPr>
          <w:rFonts w:ascii="Times New Roman" w:hAnsi="Times New Roman" w:cs="Times New Roman"/>
        </w:rPr>
        <w:t xml:space="preserve"> It calls all four “aspects of firm quality,” then says BAB isn’t a quality factor.</w:t>
      </w:r>
    </w:p>
    <w:p w14:paraId="08A57C57" w14:textId="742DDE24" w:rsidR="00C60FE9" w:rsidRDefault="00C60FE9" w:rsidP="00C60FE9">
      <w:pPr>
        <w:numPr>
          <w:ilvl w:val="0"/>
          <w:numId w:val="1"/>
        </w:numPr>
        <w:spacing w:before="100" w:beforeAutospacing="1" w:after="100" w:afterAutospacing="1" w:line="240" w:lineRule="auto"/>
        <w:rPr>
          <w:rFonts w:ascii="Times New Roman" w:hAnsi="Times New Roman" w:cs="Times New Roman"/>
        </w:rPr>
      </w:pPr>
      <w:r w:rsidRPr="00C60FE9">
        <w:rPr>
          <w:rStyle w:val="Strong"/>
          <w:rFonts w:ascii="Times New Roman" w:hAnsi="Times New Roman" w:cs="Times New Roman"/>
          <w:b w:val="0"/>
          <w:bCs w:val="0"/>
        </w:rPr>
        <w:t>The Novy-Marx explanation overstates mispricing.</w:t>
      </w:r>
      <w:r w:rsidRPr="00C60FE9">
        <w:rPr>
          <w:rFonts w:ascii="Times New Roman" w:hAnsi="Times New Roman" w:cs="Times New Roman"/>
        </w:rPr>
        <w:t xml:space="preserve"> He motivates the result through valuation logic and stays agnostic on risk versus mispricing. His key finding is that profitable firms earn higher returns despite higher valuations.</w:t>
      </w:r>
    </w:p>
    <w:p w14:paraId="64622E03" w14:textId="7DD0FAB1" w:rsidR="00C60FE9" w:rsidRDefault="00C60FE9" w:rsidP="00C60FE9">
      <w:pPr>
        <w:spacing w:before="100" w:beforeAutospacing="1" w:after="100" w:afterAutospacing="1" w:line="240" w:lineRule="auto"/>
        <w:rPr>
          <w:rFonts w:ascii="Times New Roman" w:hAnsi="Times New Roman" w:cs="Times New Roman"/>
        </w:rPr>
      </w:pPr>
      <w:r>
        <w:rPr>
          <w:rFonts w:ascii="Times New Roman" w:hAnsi="Times New Roman" w:cs="Times New Roman"/>
        </w:rPr>
        <w:t>ii)</w:t>
      </w:r>
    </w:p>
    <w:p w14:paraId="1276590E" w14:textId="51CF0A6D" w:rsidR="00C60FE9" w:rsidRDefault="00C60FE9" w:rsidP="00C60FE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separated the measurement form the economics questions</w:t>
      </w:r>
      <w:r w:rsidRPr="00C60FE9">
        <w:rPr>
          <w:rFonts w:ascii="Times New Roman" w:eastAsia="Times New Roman" w:hAnsi="Times New Roman" w:cs="Times New Roman"/>
          <w:kern w:val="0"/>
          <w14:ligatures w14:val="none"/>
        </w:rPr>
        <w:t>, but the economic side is thin and one-sided.</w:t>
      </w:r>
      <w:r>
        <w:rPr>
          <w:rFonts w:ascii="Times New Roman" w:eastAsia="Times New Roman" w:hAnsi="Times New Roman" w:cs="Times New Roman"/>
          <w:kern w:val="0"/>
          <w14:ligatures w14:val="none"/>
        </w:rPr>
        <w:t xml:space="preserve"> </w:t>
      </w:r>
      <w:r w:rsidRPr="00C60FE9">
        <w:rPr>
          <w:rFonts w:ascii="Times New Roman" w:eastAsia="Times New Roman" w:hAnsi="Times New Roman" w:cs="Times New Roman"/>
          <w:kern w:val="0"/>
          <w14:ligatures w14:val="none"/>
        </w:rPr>
        <w:t>The table splits “how it defines quality” from “why it predicts returns,” and the prose correctly notes that BAB’s premium comes from a different mechanism than its overlap with quality.</w:t>
      </w:r>
    </w:p>
    <w:p w14:paraId="289152DF" w14:textId="34A8DE49" w:rsidR="00C60FE9" w:rsidRPr="00C60FE9" w:rsidRDefault="00C60FE9" w:rsidP="00C60FE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Errors:</w:t>
      </w:r>
    </w:p>
    <w:p w14:paraId="614328AE" w14:textId="77777777" w:rsidR="00C60FE9" w:rsidRPr="00C60FE9" w:rsidRDefault="00C60FE9" w:rsidP="00C60F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kern w:val="0"/>
          <w14:ligatures w14:val="none"/>
        </w:rPr>
        <w:lastRenderedPageBreak/>
        <w:t>It never frames the debate. Risk compensation versus mispricing/limits-to-arbitrage is never posed as the central question, and each row simply asserts one story.</w:t>
      </w:r>
    </w:p>
    <w:p w14:paraId="687C76B2" w14:textId="77777777" w:rsidR="00C60FE9" w:rsidRPr="00C60FE9" w:rsidRDefault="00C60FE9" w:rsidP="00C60F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kern w:val="0"/>
          <w14:ligatures w14:val="none"/>
        </w:rPr>
        <w:t>Novy-Marx is presented as mispricing (“market does not fully reflect earnings power”), though he leaves risk versus mispricing open.</w:t>
      </w:r>
    </w:p>
    <w:p w14:paraId="09E2828E" w14:textId="77777777" w:rsidR="00C60FE9" w:rsidRPr="00C60FE9" w:rsidRDefault="00C60FE9" w:rsidP="00C60F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kern w:val="0"/>
          <w14:ligatures w14:val="none"/>
        </w:rPr>
        <w:t xml:space="preserve">RMW’s dividend-discount logic is treated as an economic explanation. It’s an accounting identity: it says profitability should forecast returns given valuation, but not </w:t>
      </w:r>
      <w:r w:rsidRPr="00C60FE9">
        <w:rPr>
          <w:rFonts w:ascii="Times New Roman" w:eastAsia="Times New Roman" w:hAnsi="Times New Roman" w:cs="Times New Roman"/>
          <w:i/>
          <w:iCs/>
          <w:kern w:val="0"/>
          <w14:ligatures w14:val="none"/>
        </w:rPr>
        <w:t>why</w:t>
      </w:r>
      <w:r w:rsidRPr="00C60FE9">
        <w:rPr>
          <w:rFonts w:ascii="Times New Roman" w:eastAsia="Times New Roman" w:hAnsi="Times New Roman" w:cs="Times New Roman"/>
          <w:kern w:val="0"/>
          <w14:ligatures w14:val="none"/>
        </w:rPr>
        <w:t xml:space="preserve"> the expected return is high (risk or error). The answer doesn’t flag this agnosticism.</w:t>
      </w:r>
    </w:p>
    <w:p w14:paraId="51B726AD" w14:textId="77777777" w:rsidR="00C60FE9" w:rsidRPr="00C60FE9" w:rsidRDefault="00C60FE9" w:rsidP="00C60F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kern w:val="0"/>
          <w14:ligatures w14:val="none"/>
        </w:rPr>
        <w:t>QMJ’s mispricing reading is stated without the risk alternative. The authors test risk explanations and find them weak, and they cite analyst forecast errors as evidence. The answer gives neither, so the conclusion is unsupported.</w:t>
      </w:r>
    </w:p>
    <w:p w14:paraId="7A539150" w14:textId="77777777" w:rsidR="00C60FE9" w:rsidRPr="00C60FE9" w:rsidRDefault="00C60FE9" w:rsidP="00C60F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kern w:val="0"/>
          <w14:ligatures w14:val="none"/>
        </w:rPr>
        <w:t>BAB is a constraints-based equilibrium story, not classic mispricing or risk. Calling it “overpricing” blurs that distinction, and limits-to-arbitrage is never named.</w:t>
      </w:r>
    </w:p>
    <w:p w14:paraId="72FA9B6D" w14:textId="77777777" w:rsidR="00C60FE9" w:rsidRPr="00C60FE9" w:rsidRDefault="00C60FE9" w:rsidP="00C60F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kern w:val="0"/>
          <w14:ligatures w14:val="none"/>
        </w:rPr>
        <w:t>The closing paragraph mixes the two questions. “Depends on valuation, expectations, and whether quality is adequately priced” combines a measurement point (controlling for valuation) with a mispricing claim in one sentence.</w:t>
      </w:r>
    </w:p>
    <w:p w14:paraId="567A1DA9" w14:textId="31A4B3AD" w:rsidR="00C60FE9" w:rsidRDefault="00C60FE9" w:rsidP="00C60FE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iii)</w:t>
      </w:r>
    </w:p>
    <w:p w14:paraId="19CC81C3" w14:textId="77777777" w:rsidR="00C60FE9" w:rsidRPr="00C60FE9" w:rsidRDefault="00C60FE9" w:rsidP="00C60FE9">
      <w:p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b/>
          <w:bCs/>
          <w:kern w:val="0"/>
          <w14:ligatures w14:val="none"/>
        </w:rPr>
        <w:t>Does the LLM assert a “best”?</w:t>
      </w:r>
      <w:r w:rsidRPr="00C60FE9">
        <w:rPr>
          <w:rFonts w:ascii="Times New Roman" w:eastAsia="Times New Roman" w:hAnsi="Times New Roman" w:cs="Times New Roman"/>
          <w:kern w:val="0"/>
          <w14:ligatures w14:val="none"/>
        </w:rPr>
        <w:t xml:space="preserve"> Not explicitly, but it implies QMJ is superior because it’s “more comprehensive.” That’s echoed consensus, not a defended claim. It names no criterion, and breadth isn’t one: more inputs mean more discretion and more overlap with other factors.</w:t>
      </w:r>
    </w:p>
    <w:p w14:paraId="559AD335" w14:textId="14FBAA11" w:rsidR="00C60FE9" w:rsidRPr="00C60FE9" w:rsidRDefault="00C60FE9" w:rsidP="00C60FE9">
      <w:p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b/>
          <w:bCs/>
          <w:kern w:val="0"/>
          <w14:ligatures w14:val="none"/>
        </w:rPr>
        <w:t>My ranking</w:t>
      </w:r>
      <w:r w:rsidRPr="00C60FE9">
        <w:rPr>
          <w:rFonts w:ascii="Times New Roman" w:eastAsia="Times New Roman" w:hAnsi="Times New Roman" w:cs="Times New Roman"/>
          <w:kern w:val="0"/>
          <w14:ligatures w14:val="none"/>
        </w:rPr>
        <w:t xml:space="preserve"> </w:t>
      </w:r>
    </w:p>
    <w:p w14:paraId="2FA56907" w14:textId="77777777" w:rsidR="00C60FE9" w:rsidRPr="00C60FE9" w:rsidRDefault="00C60FE9" w:rsidP="00C60F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kern w:val="0"/>
          <w14:ligatures w14:val="none"/>
        </w:rPr>
        <w:t>Novy-Marx gross profitability</w:t>
      </w:r>
    </w:p>
    <w:p w14:paraId="77BB0409" w14:textId="77777777" w:rsidR="00C60FE9" w:rsidRPr="00C60FE9" w:rsidRDefault="00C60FE9" w:rsidP="00C60F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kern w:val="0"/>
          <w14:ligatures w14:val="none"/>
        </w:rPr>
        <w:t>Fama-French RMW</w:t>
      </w:r>
    </w:p>
    <w:p w14:paraId="5C96CCF2" w14:textId="77777777" w:rsidR="00C60FE9" w:rsidRPr="00C60FE9" w:rsidRDefault="00C60FE9" w:rsidP="00C60F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kern w:val="0"/>
          <w14:ligatures w14:val="none"/>
        </w:rPr>
        <w:t>QMJ</w:t>
      </w:r>
    </w:p>
    <w:p w14:paraId="20414D89" w14:textId="77777777" w:rsidR="00C60FE9" w:rsidRPr="00C60FE9" w:rsidRDefault="00C60FE9" w:rsidP="00C60F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kern w:val="0"/>
          <w14:ligatures w14:val="none"/>
        </w:rPr>
        <w:t>BAB</w:t>
      </w:r>
    </w:p>
    <w:p w14:paraId="044850A6" w14:textId="5C74A91F" w:rsidR="00C60FE9" w:rsidRDefault="00C60FE9" w:rsidP="00C60FE9">
      <w:pPr>
        <w:spacing w:before="100" w:beforeAutospacing="1" w:after="100" w:afterAutospacing="1" w:line="240" w:lineRule="auto"/>
        <w:rPr>
          <w:rFonts w:ascii="Times New Roman" w:eastAsia="Times New Roman" w:hAnsi="Times New Roman" w:cs="Times New Roman"/>
          <w:kern w:val="0"/>
          <w14:ligatures w14:val="none"/>
        </w:rPr>
      </w:pPr>
      <w:r w:rsidRPr="00C60FE9">
        <w:rPr>
          <w:rFonts w:ascii="Times New Roman" w:eastAsia="Times New Roman" w:hAnsi="Times New Roman" w:cs="Times New Roman"/>
          <w:kern w:val="0"/>
          <w14:ligatures w14:val="none"/>
        </w:rPr>
        <w:t>Gross profitability ranks first because it’s a single, pre-specified variable. It’s least affected by accounting choices, and scaling by assets keeps leverage out of it. RMW uses a more complete earnings measure, but scaling by book equity makes it noisier and sensitive to leverage. QMJ is the broadest definition of quality but the least clean measure: it has many discretionary inputs, and its safety leg includes beta, so it partly duplicates BAB. BAB</w:t>
      </w:r>
      <w:r>
        <w:rPr>
          <w:rFonts w:ascii="Times New Roman" w:eastAsia="Times New Roman" w:hAnsi="Times New Roman" w:cs="Times New Roman"/>
          <w:kern w:val="0"/>
          <w14:ligatures w14:val="none"/>
        </w:rPr>
        <w:t xml:space="preserve">’s </w:t>
      </w:r>
      <w:r w:rsidRPr="00C60FE9">
        <w:rPr>
          <w:rFonts w:ascii="Times New Roman" w:eastAsia="Times New Roman" w:hAnsi="Times New Roman" w:cs="Times New Roman"/>
          <w:kern w:val="0"/>
          <w14:ligatures w14:val="none"/>
        </w:rPr>
        <w:t xml:space="preserve">quality measure </w:t>
      </w:r>
      <w:r>
        <w:rPr>
          <w:rFonts w:ascii="Times New Roman" w:eastAsia="Times New Roman" w:hAnsi="Times New Roman" w:cs="Times New Roman"/>
          <w:kern w:val="0"/>
          <w14:ligatures w14:val="none"/>
        </w:rPr>
        <w:t>is deficient</w:t>
      </w:r>
      <w:r w:rsidRPr="00C60FE9">
        <w:rPr>
          <w:rFonts w:ascii="Times New Roman" w:eastAsia="Times New Roman" w:hAnsi="Times New Roman" w:cs="Times New Roman"/>
          <w:kern w:val="0"/>
          <w14:ligatures w14:val="none"/>
        </w:rPr>
        <w:t xml:space="preserve">, and its premium is contested once conventional </w:t>
      </w:r>
      <w:proofErr w:type="gramStart"/>
      <w:r w:rsidRPr="00C60FE9">
        <w:rPr>
          <w:rFonts w:ascii="Times New Roman" w:eastAsia="Times New Roman" w:hAnsi="Times New Roman" w:cs="Times New Roman"/>
          <w:kern w:val="0"/>
          <w14:ligatures w14:val="none"/>
        </w:rPr>
        <w:t>construction</w:t>
      </w:r>
      <w:proofErr w:type="gramEnd"/>
      <w:r w:rsidRPr="00C60FE9">
        <w:rPr>
          <w:rFonts w:ascii="Times New Roman" w:eastAsia="Times New Roman" w:hAnsi="Times New Roman" w:cs="Times New Roman"/>
          <w:kern w:val="0"/>
          <w14:ligatures w14:val="none"/>
        </w:rPr>
        <w:t xml:space="preserve"> and trading costs are applied.</w:t>
      </w:r>
    </w:p>
    <w:p w14:paraId="588E6DF2" w14:textId="77777777" w:rsidR="00AC3C42" w:rsidRDefault="00AC3C42" w:rsidP="00C60FE9">
      <w:pPr>
        <w:spacing w:before="100" w:beforeAutospacing="1" w:after="100" w:afterAutospacing="1" w:line="240" w:lineRule="auto"/>
        <w:rPr>
          <w:rFonts w:ascii="Times New Roman" w:eastAsia="Times New Roman" w:hAnsi="Times New Roman" w:cs="Times New Roman"/>
          <w:kern w:val="0"/>
          <w14:ligatures w14:val="none"/>
        </w:rPr>
      </w:pPr>
    </w:p>
    <w:p w14:paraId="49790651" w14:textId="36AE94BE" w:rsidR="00AC3C42" w:rsidRPr="00796BE9" w:rsidRDefault="00AC3C42" w:rsidP="00C60FE9">
      <w:pPr>
        <w:spacing w:before="100" w:beforeAutospacing="1" w:after="100" w:afterAutospacing="1" w:line="240" w:lineRule="auto"/>
        <w:rPr>
          <w:rFonts w:ascii="Times New Roman" w:eastAsia="Times New Roman" w:hAnsi="Times New Roman" w:cs="Times New Roman"/>
          <w:b/>
          <w:bCs/>
          <w:kern w:val="0"/>
          <w14:ligatures w14:val="none"/>
        </w:rPr>
      </w:pPr>
      <w:r w:rsidRPr="00796BE9">
        <w:rPr>
          <w:rFonts w:ascii="Times New Roman" w:eastAsia="Times New Roman" w:hAnsi="Times New Roman" w:cs="Times New Roman" w:hint="eastAsia"/>
          <w:b/>
          <w:bCs/>
          <w:kern w:val="0"/>
          <w14:ligatures w14:val="none"/>
        </w:rPr>
        <w:t>Part V</w:t>
      </w:r>
    </w:p>
    <w:p w14:paraId="59DE0C04" w14:textId="47B26D62" w:rsidR="00AC3C42" w:rsidRPr="00796BE9" w:rsidRDefault="00796BE9" w:rsidP="00C60FE9">
      <w:pPr>
        <w:spacing w:before="100" w:beforeAutospacing="1" w:after="100" w:afterAutospacing="1" w:line="240" w:lineRule="auto"/>
        <w:rPr>
          <w:rFonts w:ascii="Times New Roman" w:eastAsia="Times New Roman" w:hAnsi="Times New Roman" w:cs="Times New Roman"/>
          <w:b/>
          <w:bCs/>
          <w:kern w:val="0"/>
          <w14:ligatures w14:val="none"/>
        </w:rPr>
      </w:pPr>
      <w:r w:rsidRPr="00796BE9">
        <w:rPr>
          <w:rFonts w:ascii="Times New Roman" w:eastAsia="Times New Roman" w:hAnsi="Times New Roman" w:cs="Times New Roman"/>
          <w:b/>
          <w:bCs/>
          <w:kern w:val="0"/>
          <w14:ligatures w14:val="none"/>
        </w:rPr>
        <w:t>Q</w:t>
      </w:r>
      <w:r w:rsidRPr="00796BE9">
        <w:rPr>
          <w:rFonts w:ascii="Times New Roman" w:eastAsia="Times New Roman" w:hAnsi="Times New Roman" w:cs="Times New Roman" w:hint="eastAsia"/>
          <w:b/>
          <w:bCs/>
          <w:kern w:val="0"/>
          <w14:ligatures w14:val="none"/>
        </w:rPr>
        <w:t>uestion 1:</w:t>
      </w:r>
    </w:p>
    <w:p w14:paraId="12A90053" w14:textId="77777777" w:rsidR="00796BE9" w:rsidRDefault="00796BE9" w:rsidP="00796BE9">
      <w:pPr>
        <w:pStyle w:val="NormalWeb"/>
      </w:pPr>
      <w:r>
        <w:t>I propose a time-series state-dependence test of whether BAB, QMJ, and RMW reflect different economic mechanisms. Using monthly returns, I would regress each factor’s next-month return on lagged state variables (a funding-liquidity measure such as the TED spread, VIX, and the Baker-Wurgler sentiment index), controlling for RMRF, SMB, HML, and UMD, with Newey-</w:t>
      </w:r>
      <w:r>
        <w:lastRenderedPageBreak/>
        <w:t>West standard errors. To separate prediction from contemporaneous effects, I would also regress same-month factor returns on changes in funding conditions. Frazzini and Pedersen’s leverage-constraint theory implies BAB should lose when funding tightens contemporaneously, while tighter constraints should raise its expected subsequent returns. QMJ may instead gain through flight to quality, as the lecture shows, and RMW serves as a benchmark for profitability-based quality. Distinct coefficient patterns would support different mechanisms, while similar patterns would suggest a common channel. State dependence cannot distinguish risk compensation from mispricing or establish causality, but it shows which factors respond to financing frictions or sentiment.</w:t>
      </w:r>
    </w:p>
    <w:p w14:paraId="6518E2CC" w14:textId="77777777" w:rsidR="00796BE9" w:rsidRDefault="00796BE9" w:rsidP="00C60FE9">
      <w:pPr>
        <w:spacing w:before="100" w:beforeAutospacing="1" w:after="100" w:afterAutospacing="1" w:line="240" w:lineRule="auto"/>
        <w:rPr>
          <w:rFonts w:ascii="Times New Roman" w:eastAsia="Times New Roman" w:hAnsi="Times New Roman" w:cs="Times New Roman"/>
          <w:kern w:val="0"/>
          <w14:ligatures w14:val="none"/>
        </w:rPr>
      </w:pPr>
    </w:p>
    <w:p w14:paraId="567D2534" w14:textId="77777777" w:rsidR="00796BE9" w:rsidRDefault="00796BE9" w:rsidP="00C60FE9">
      <w:pPr>
        <w:spacing w:before="100" w:beforeAutospacing="1" w:after="100" w:afterAutospacing="1" w:line="240" w:lineRule="auto"/>
        <w:rPr>
          <w:rFonts w:ascii="Times New Roman" w:eastAsia="Times New Roman" w:hAnsi="Times New Roman" w:cs="Times New Roman"/>
          <w:kern w:val="0"/>
          <w14:ligatures w14:val="none"/>
        </w:rPr>
      </w:pPr>
    </w:p>
    <w:p w14:paraId="6A8D8D5A" w14:textId="4618567A" w:rsidR="00796BE9" w:rsidRDefault="00796BE9" w:rsidP="00C60FE9">
      <w:pPr>
        <w:spacing w:before="100" w:beforeAutospacing="1" w:after="100" w:afterAutospacing="1" w:line="240" w:lineRule="auto"/>
        <w:rPr>
          <w:rFonts w:ascii="Times New Roman" w:eastAsia="Times New Roman" w:hAnsi="Times New Roman" w:cs="Times New Roman"/>
          <w:b/>
          <w:bCs/>
          <w:kern w:val="0"/>
          <w14:ligatures w14:val="none"/>
        </w:rPr>
      </w:pPr>
      <w:r w:rsidRPr="00796BE9">
        <w:rPr>
          <w:rFonts w:ascii="Times New Roman" w:eastAsia="Times New Roman" w:hAnsi="Times New Roman" w:cs="Times New Roman"/>
          <w:b/>
          <w:bCs/>
          <w:kern w:val="0"/>
          <w14:ligatures w14:val="none"/>
        </w:rPr>
        <w:t>Question 2:</w:t>
      </w:r>
    </w:p>
    <w:p w14:paraId="47E3C8D9" w14:textId="7E1D218F" w:rsidR="00796BE9" w:rsidRPr="00796BE9" w:rsidRDefault="00796BE9" w:rsidP="00C60FE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LLM proposal:</w:t>
      </w:r>
    </w:p>
    <w:p w14:paraId="2464029C" w14:textId="2BC4A17A" w:rsidR="00796BE9" w:rsidRPr="00796BE9" w:rsidRDefault="00796BE9" w:rsidP="00796BE9">
      <w:pPr>
        <w:pStyle w:val="NormalWeb"/>
      </w:pPr>
      <w:r>
        <w:t>Comment:</w:t>
      </w:r>
      <w:r>
        <w:br/>
      </w:r>
      <w:r w:rsidRPr="00796BE9">
        <w:t>I find MRF an interesting proposal because it measures a firm's ability to maintain profitability during cost shocks rather than its current profitability level. However, I am not fully convinced that it captures a new dimension of quality. Since changes in gross margins partly depend on the COGS-to-revenue ratio, the signal may overlap with existing profitability measures such as gross profitability and RMW. It also resembles QMJ's safety dimension, as firms with stable margins may already be considered financially resilient.</w:t>
      </w:r>
    </w:p>
    <w:p w14:paraId="2BC4D199" w14:textId="77777777" w:rsidR="00796BE9" w:rsidRPr="00796BE9" w:rsidRDefault="00796BE9" w:rsidP="00796BE9">
      <w:pPr>
        <w:pStyle w:val="NormalWeb"/>
      </w:pPr>
      <w:r w:rsidRPr="00796BE9">
        <w:t>I also see some measurement concerns. Industry PPIs may not accurately represent firms' input costs, and estimating sensitivity using only 20 quarters could produce noisy coefficients. I would prefer more precise input-cost measures and test whether the estimated sensitivities remain stable over time.</w:t>
      </w:r>
    </w:p>
    <w:p w14:paraId="3E559E96" w14:textId="7939FE4C" w:rsidR="00796BE9" w:rsidRPr="00796BE9" w:rsidRDefault="00796BE9" w:rsidP="00C60FE9">
      <w:pPr>
        <w:spacing w:before="100" w:beforeAutospacing="1" w:after="100" w:afterAutospacing="1" w:line="240" w:lineRule="auto"/>
        <w:rPr>
          <w:rFonts w:ascii="Times New Roman" w:eastAsia="Times New Roman" w:hAnsi="Times New Roman" w:cs="Times New Roman"/>
          <w:kern w:val="0"/>
          <w14:ligatures w14:val="none"/>
        </w:rPr>
      </w:pPr>
      <w:r w:rsidRPr="00796BE9">
        <w:rPr>
          <w:rFonts w:ascii="Times New Roman" w:hAnsi="Times New Roman" w:cs="Times New Roman"/>
        </w:rPr>
        <w:t>The return prediction is not convincing as stated. The proposal offers a mispricing story (positive premium) and a risk story (negative premium) without committing to a sign, so it cannot be falsified. The mispricing story does not explain why investors would neglect cost-shock sensitivity but not margin levels, and the risk story would make MRF an inflation or commodity beta rather than a quality factor. It also conflicts with industry-neutral sorting, which removes cross-industry exposure. I would pre-specify the sign and test alpha against FF5, momentum, QMJ and BAB, with controls for gross profitability and margin volatility.</w:t>
      </w:r>
    </w:p>
    <w:p w14:paraId="5FE1DB07" w14:textId="77777777" w:rsidR="00C60FE9" w:rsidRPr="00C60FE9" w:rsidRDefault="00C60FE9" w:rsidP="00C60FE9">
      <w:pPr>
        <w:spacing w:before="100" w:beforeAutospacing="1" w:after="100" w:afterAutospacing="1" w:line="240" w:lineRule="auto"/>
        <w:rPr>
          <w:rFonts w:ascii="Times New Roman" w:hAnsi="Times New Roman" w:cs="Times New Roman"/>
        </w:rPr>
      </w:pPr>
    </w:p>
    <w:p w14:paraId="624C6AA4" w14:textId="77777777" w:rsidR="00C60FE9" w:rsidRDefault="00C60FE9"/>
    <w:sectPr w:rsidR="00C60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2F68CA"/>
    <w:multiLevelType w:val="multilevel"/>
    <w:tmpl w:val="D480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CB7843"/>
    <w:multiLevelType w:val="multilevel"/>
    <w:tmpl w:val="F6CC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9362CC"/>
    <w:multiLevelType w:val="multilevel"/>
    <w:tmpl w:val="0E3EA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8C404D"/>
    <w:multiLevelType w:val="multilevel"/>
    <w:tmpl w:val="F908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104001">
    <w:abstractNumId w:val="2"/>
  </w:num>
  <w:num w:numId="2" w16cid:durableId="1007713846">
    <w:abstractNumId w:val="0"/>
  </w:num>
  <w:num w:numId="3" w16cid:durableId="1146623520">
    <w:abstractNumId w:val="1"/>
  </w:num>
  <w:num w:numId="4" w16cid:durableId="18213283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D9B"/>
    <w:rsid w:val="006B2ECC"/>
    <w:rsid w:val="00796BE9"/>
    <w:rsid w:val="00977AF1"/>
    <w:rsid w:val="0098282E"/>
    <w:rsid w:val="009A4D9B"/>
    <w:rsid w:val="00AC3C42"/>
    <w:rsid w:val="00C60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86D5BA"/>
  <w15:chartTrackingRefBased/>
  <w15:docId w15:val="{67AAB50F-7102-9C44-94A3-3B5543D73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D9B"/>
    <w:rPr>
      <w:rFonts w:eastAsiaTheme="majorEastAsia" w:cstheme="majorBidi"/>
      <w:color w:val="272727" w:themeColor="text1" w:themeTint="D8"/>
    </w:rPr>
  </w:style>
  <w:style w:type="paragraph" w:styleId="Title">
    <w:name w:val="Title"/>
    <w:basedOn w:val="Normal"/>
    <w:next w:val="Normal"/>
    <w:link w:val="TitleChar"/>
    <w:uiPriority w:val="10"/>
    <w:qFormat/>
    <w:rsid w:val="009A4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D9B"/>
    <w:pPr>
      <w:spacing w:before="160"/>
      <w:jc w:val="center"/>
    </w:pPr>
    <w:rPr>
      <w:i/>
      <w:iCs/>
      <w:color w:val="404040" w:themeColor="text1" w:themeTint="BF"/>
    </w:rPr>
  </w:style>
  <w:style w:type="character" w:customStyle="1" w:styleId="QuoteChar">
    <w:name w:val="Quote Char"/>
    <w:basedOn w:val="DefaultParagraphFont"/>
    <w:link w:val="Quote"/>
    <w:uiPriority w:val="29"/>
    <w:rsid w:val="009A4D9B"/>
    <w:rPr>
      <w:i/>
      <w:iCs/>
      <w:color w:val="404040" w:themeColor="text1" w:themeTint="BF"/>
    </w:rPr>
  </w:style>
  <w:style w:type="paragraph" w:styleId="ListParagraph">
    <w:name w:val="List Paragraph"/>
    <w:basedOn w:val="Normal"/>
    <w:uiPriority w:val="34"/>
    <w:qFormat/>
    <w:rsid w:val="009A4D9B"/>
    <w:pPr>
      <w:ind w:left="720"/>
      <w:contextualSpacing/>
    </w:pPr>
  </w:style>
  <w:style w:type="character" w:styleId="IntenseEmphasis">
    <w:name w:val="Intense Emphasis"/>
    <w:basedOn w:val="DefaultParagraphFont"/>
    <w:uiPriority w:val="21"/>
    <w:qFormat/>
    <w:rsid w:val="009A4D9B"/>
    <w:rPr>
      <w:i/>
      <w:iCs/>
      <w:color w:val="0F4761" w:themeColor="accent1" w:themeShade="BF"/>
    </w:rPr>
  </w:style>
  <w:style w:type="paragraph" w:styleId="IntenseQuote">
    <w:name w:val="Intense Quote"/>
    <w:basedOn w:val="Normal"/>
    <w:next w:val="Normal"/>
    <w:link w:val="IntenseQuoteChar"/>
    <w:uiPriority w:val="30"/>
    <w:qFormat/>
    <w:rsid w:val="009A4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D9B"/>
    <w:rPr>
      <w:i/>
      <w:iCs/>
      <w:color w:val="0F4761" w:themeColor="accent1" w:themeShade="BF"/>
    </w:rPr>
  </w:style>
  <w:style w:type="character" w:styleId="IntenseReference">
    <w:name w:val="Intense Reference"/>
    <w:basedOn w:val="DefaultParagraphFont"/>
    <w:uiPriority w:val="32"/>
    <w:qFormat/>
    <w:rsid w:val="009A4D9B"/>
    <w:rPr>
      <w:b/>
      <w:bCs/>
      <w:smallCaps/>
      <w:color w:val="0F4761" w:themeColor="accent1" w:themeShade="BF"/>
      <w:spacing w:val="5"/>
    </w:rPr>
  </w:style>
  <w:style w:type="paragraph" w:styleId="NormalWeb">
    <w:name w:val="Normal (Web)"/>
    <w:basedOn w:val="Normal"/>
    <w:uiPriority w:val="99"/>
    <w:semiHidden/>
    <w:unhideWhenUsed/>
    <w:rsid w:val="006B2E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2ECC"/>
    <w:rPr>
      <w:b/>
      <w:bCs/>
    </w:rPr>
  </w:style>
  <w:style w:type="character" w:styleId="Hyperlink">
    <w:name w:val="Hyperlink"/>
    <w:basedOn w:val="DefaultParagraphFont"/>
    <w:uiPriority w:val="99"/>
    <w:semiHidden/>
    <w:unhideWhenUsed/>
    <w:rsid w:val="006B2ECC"/>
    <w:rPr>
      <w:color w:val="0000FF"/>
      <w:u w:val="single"/>
    </w:rPr>
  </w:style>
  <w:style w:type="table" w:styleId="TableGrid">
    <w:name w:val="Table Grid"/>
    <w:basedOn w:val="TableNormal"/>
    <w:uiPriority w:val="39"/>
    <w:rsid w:val="006B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60F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2431</Words>
  <Characters>12083</Characters>
  <Application>Microsoft Office Word</Application>
  <DocSecurity>0</DocSecurity>
  <Lines>223</Lines>
  <Paragraphs>103</Paragraphs>
  <ScaleCrop>false</ScaleCrop>
  <Company/>
  <LinksUpToDate>false</LinksUpToDate>
  <CharactersWithSpaces>14411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Wu</dc:creator>
  <cp:keywords/>
  <dc:description/>
  <cp:lastModifiedBy>Emily Wu</cp:lastModifiedBy>
  <cp:revision>3</cp:revision>
  <dcterms:created xsi:type="dcterms:W3CDTF">2026-10-29T19:10:00Z</dcterms:created>
  <dcterms:modified xsi:type="dcterms:W3CDTF">2026-10-29T19:35:00Z</dcterms:modified>
</cp:coreProperties>
</file>