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/>
          <w:sz w:val="28"/>
        </w:rPr>
        <w:t>Section 3: Predicting Portfolio Risk</w:t>
      </w:r>
    </w:p>
    <w:p>
      <w:pPr>
        <w:spacing w:before="160" w:after="80"/>
      </w:pPr>
      <w:r>
        <w:rPr>
          <w:rFonts w:ascii="Times New Roman" w:hAnsi="Times New Roman"/>
          <w:b/>
          <w:sz w:val="22"/>
        </w:rPr>
        <w:t>3.5: Market betas</w:t>
      </w:r>
    </w:p>
    <w:p>
      <w:pPr>
        <w:spacing w:after="100"/>
      </w:pPr>
      <w:r>
        <w:rPr>
          <w:rFonts w:ascii="Times New Roman" w:hAnsi="Times New Roman"/>
          <w:sz w:val="22"/>
        </w:rPr>
        <w:t>Table 3 reports the market beta estimates from separate OLS regressions of Value, Momentum, and Quality on the market return.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Value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Momentum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Quality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-0.2387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-0.2747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-0.0672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2"/>
        </w:rPr>
        <w:t>3.6: Residual variances</w:t>
      </w:r>
    </w:p>
    <w:p>
      <w:pPr>
        <w:spacing w:after="100"/>
      </w:pPr>
      <w:r>
        <w:rPr>
          <w:rFonts w:ascii="Times New Roman" w:hAnsi="Times New Roman"/>
          <w:sz w:val="22"/>
        </w:rPr>
        <w:t>Table 4 reports the sample variance of the residuals from each of the three market regressions.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Value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Momentum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Quality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0.001425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0.001155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0.000261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2"/>
        </w:rPr>
        <w:t>3.7: Portfolio risk using the market model</w:t>
      </w:r>
    </w:p>
    <w:p>
      <w:pPr>
        <w:spacing w:after="100"/>
      </w:pPr>
      <w:r>
        <w:rPr>
          <w:rFonts w:ascii="Times New Roman" w:hAnsi="Times New Roman"/>
          <w:sz w:val="22"/>
        </w:rPr>
        <w:t>The Portfolio allocates 50% to Value, 25% to Momentum, and 25% to Quality. Using the market-model variance formula,</w:t>
      </w:r>
    </w:p>
    <w:p>
      <w:pPr>
        <w:jc w:val="center"/>
      </w:pPr>
      <w:r>
        <w:rPr>
          <w:rFonts w:ascii="Times New Roman" w:hAnsi="Times New Roman"/>
          <w:i/>
          <w:sz w:val="22"/>
        </w:rPr>
        <w:t>Var(P) = βP² Var(Market) + wV² Var(eV) + wM² Var(eM) + wQ² Var(eQ)</w:t>
      </w:r>
    </w:p>
    <w:p>
      <w:pPr>
        <w:spacing w:after="100"/>
      </w:pPr>
      <w:r>
        <w:rPr>
          <w:rFonts w:ascii="Times New Roman" w:hAnsi="Times New Roman"/>
          <w:sz w:val="22"/>
        </w:rPr>
        <w:t>where βP = -0.2048, the predicted standard deviation of The Portfolio is 2.30% per month.</w:t>
      </w:r>
    </w:p>
    <w:p>
      <w:pPr>
        <w:spacing w:before="160" w:after="80"/>
      </w:pPr>
      <w:r>
        <w:rPr>
          <w:rFonts w:ascii="Times New Roman" w:hAnsi="Times New Roman"/>
          <w:b/>
          <w:sz w:val="22"/>
        </w:rPr>
        <w:t>3.8: Why are the two risk predictions different?</w:t>
      </w:r>
    </w:p>
    <w:p>
      <w:pPr>
        <w:spacing w:after="100"/>
      </w:pPr>
      <w:r>
        <w:rPr>
          <w:rFonts w:ascii="Times New Roman" w:hAnsi="Times New Roman"/>
          <w:sz w:val="22"/>
        </w:rPr>
        <w:t>The sample-covariance approach in 3.4 gives a portfolio standard deviation of 1.97%, while the market-model approach in 3.7 gives 2.30%. The estimates differ because 3.4 uses the observed covariances among the three factors, whereas 3.7 attributes common risk to the market and treats the remaining residual risks as uncorrelated.</w:t>
      </w:r>
    </w:p>
    <w:p>
      <w:pPr>
        <w:spacing w:before="160" w:after="80"/>
      </w:pPr>
      <w:r>
        <w:rPr>
          <w:rFonts w:ascii="Times New Roman" w:hAnsi="Times New Roman"/>
          <w:b/>
          <w:sz w:val="22"/>
        </w:rPr>
        <w:t>3.9: Preferred risk prediction</w:t>
      </w:r>
    </w:p>
    <w:p>
      <w:pPr>
        <w:spacing w:after="100"/>
      </w:pPr>
      <w:r>
        <w:rPr>
          <w:rFonts w:ascii="Times New Roman" w:hAnsi="Times New Roman"/>
          <w:sz w:val="22"/>
        </w:rPr>
        <w:t>I prefer the estimate from 3.4 because it uses the observed covariance structure directly. Since the regression residuals remain correlated, the market-model assumptions in 3.7 do not fully capture the relationships among the three factors.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