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0656" w14:textId="7DF97DFD" w:rsidR="00B919C5" w:rsidRPr="00B919C5" w:rsidRDefault="00B919C5" w:rsidP="00B919C5">
      <w:pPr>
        <w:pStyle w:val="Heading1"/>
        <w:rPr>
          <w:rFonts w:hint="eastAsia"/>
        </w:rPr>
      </w:pPr>
      <w:r w:rsidRPr="00B919C5">
        <w:rPr>
          <w:rFonts w:hint="eastAsia"/>
        </w:rPr>
        <w:t>外汇相关数据统计口径</w:t>
      </w:r>
    </w:p>
    <w:p w14:paraId="447098FA" w14:textId="21CB68BE" w:rsidR="00E26740" w:rsidRDefault="00112252">
      <w:r w:rsidRPr="00112252">
        <w:rPr>
          <w:rFonts w:hint="eastAsia"/>
        </w:rPr>
        <w:t>国际收支平衡表</w:t>
      </w:r>
      <w:r>
        <w:rPr>
          <w:rFonts w:hint="eastAsia"/>
        </w:rPr>
        <w:t>、</w:t>
      </w:r>
      <w:r w:rsidR="00C53B51" w:rsidRPr="00C53B51">
        <w:rPr>
          <w:rFonts w:hint="eastAsia"/>
        </w:rPr>
        <w:t>银行</w:t>
      </w:r>
      <w:r w:rsidR="008E02FA">
        <w:rPr>
          <w:rFonts w:hint="eastAsia"/>
        </w:rPr>
        <w:t>代客</w:t>
      </w:r>
      <w:proofErr w:type="gramStart"/>
      <w:r w:rsidR="008E02FA">
        <w:rPr>
          <w:rFonts w:hint="eastAsia"/>
        </w:rPr>
        <w:t>涉外收</w:t>
      </w:r>
      <w:proofErr w:type="gramEnd"/>
      <w:r w:rsidR="008E02FA">
        <w:rPr>
          <w:rFonts w:hint="eastAsia"/>
        </w:rPr>
        <w:t>付款数据</w:t>
      </w:r>
      <w:r w:rsidR="00236996">
        <w:rPr>
          <w:rFonts w:hint="eastAsia"/>
        </w:rPr>
        <w:t>、银行结售汇</w:t>
      </w:r>
      <w:r w:rsidR="008E02FA">
        <w:rPr>
          <w:rFonts w:hint="eastAsia"/>
        </w:rPr>
        <w:t>数据</w:t>
      </w:r>
      <w:r w:rsidR="00236996">
        <w:rPr>
          <w:rFonts w:hint="eastAsia"/>
        </w:rPr>
        <w:t>、</w:t>
      </w:r>
      <w:r w:rsidR="0017585B" w:rsidRPr="00B919C5">
        <w:rPr>
          <w:rFonts w:hint="eastAsia"/>
          <w:highlight w:val="yellow"/>
        </w:rPr>
        <w:t>外汇存贷款</w:t>
      </w:r>
    </w:p>
    <w:p w14:paraId="4C68E2C1" w14:textId="51C7FE80" w:rsidR="00112252" w:rsidRDefault="00112252">
      <w:pPr>
        <w:rPr>
          <w:rFonts w:hint="eastAsia"/>
        </w:rPr>
      </w:pPr>
    </w:p>
    <w:p w14:paraId="2243683B" w14:textId="7A275101" w:rsidR="0017585B" w:rsidRPr="00112252" w:rsidRDefault="0017585B" w:rsidP="00112252">
      <w:pPr>
        <w:pStyle w:val="Style1"/>
      </w:pPr>
      <w:r w:rsidRPr="00112252">
        <w:rPr>
          <w:rFonts w:hint="eastAsia"/>
        </w:rPr>
        <w:t>国际收支平衡表</w:t>
      </w:r>
      <w:r w:rsidRPr="00112252">
        <w:rPr>
          <w:rFonts w:hint="eastAsia"/>
        </w:rPr>
        <w:t>BOP</w:t>
      </w:r>
    </w:p>
    <w:p w14:paraId="1A744928" w14:textId="79FB054E" w:rsidR="00076035" w:rsidRDefault="00076035" w:rsidP="0007603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统计对象：</w:t>
      </w:r>
      <w:r w:rsidR="00112252">
        <w:rPr>
          <w:rFonts w:hint="eastAsia"/>
        </w:rPr>
        <w:t>详见国际收支平衡表说明</w:t>
      </w:r>
    </w:p>
    <w:p w14:paraId="6F5EF42C" w14:textId="12303633" w:rsidR="00112252" w:rsidRDefault="00112252" w:rsidP="0011225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数据</w:t>
      </w:r>
      <w:r w:rsidR="00076035">
        <w:rPr>
          <w:rFonts w:hint="eastAsia"/>
        </w:rPr>
        <w:t>发布：</w:t>
      </w:r>
      <w:r w:rsidR="00076035">
        <w:t>国家外汇管理局按</w:t>
      </w:r>
      <w:r w:rsidR="00076035" w:rsidRPr="00076035">
        <w:rPr>
          <w:rFonts w:hint="eastAsia"/>
          <w:color w:val="FF0000"/>
        </w:rPr>
        <w:t>【</w:t>
      </w:r>
      <w:r w:rsidR="00076035" w:rsidRPr="00076035">
        <w:rPr>
          <w:color w:val="FF0000"/>
        </w:rPr>
        <w:t>季度</w:t>
      </w:r>
      <w:r w:rsidR="00076035" w:rsidRPr="00076035">
        <w:rPr>
          <w:rFonts w:hint="eastAsia"/>
          <w:color w:val="FF0000"/>
        </w:rPr>
        <w:t>】</w:t>
      </w:r>
      <w:r w:rsidR="00076035">
        <w:t>发布国际收支平衡表</w:t>
      </w:r>
      <w:r w:rsidR="00076035">
        <w:rPr>
          <w:rFonts w:hint="eastAsia"/>
        </w:rPr>
        <w:t>【</w:t>
      </w:r>
      <w:r w:rsidR="00076035">
        <w:t>初步数</w:t>
      </w:r>
      <w:r w:rsidR="00076035">
        <w:rPr>
          <w:rFonts w:hint="eastAsia"/>
        </w:rPr>
        <w:t>】</w:t>
      </w:r>
      <w:r w:rsidR="00076035">
        <w:t>，</w:t>
      </w:r>
      <w:r w:rsidR="00076035">
        <w:rPr>
          <w:rFonts w:hint="eastAsia"/>
        </w:rPr>
        <w:t>【</w:t>
      </w:r>
      <w:r w:rsidR="00076035">
        <w:t>正式数</w:t>
      </w:r>
      <w:r w:rsidR="00076035">
        <w:rPr>
          <w:rFonts w:hint="eastAsia"/>
        </w:rPr>
        <w:t>】</w:t>
      </w:r>
      <w:r w:rsidR="00076035">
        <w:t>和</w:t>
      </w:r>
      <w:r w:rsidR="00076035">
        <w:rPr>
          <w:rFonts w:hint="eastAsia"/>
        </w:rPr>
        <w:t>【</w:t>
      </w:r>
      <w:r w:rsidR="00076035">
        <w:t>修订数</w:t>
      </w:r>
      <w:r w:rsidR="00076035">
        <w:rPr>
          <w:rFonts w:hint="eastAsia"/>
        </w:rPr>
        <w:t>】</w:t>
      </w:r>
      <w:r w:rsidR="00076035">
        <w:t>。在编制和发布</w:t>
      </w:r>
      <w:r w:rsidR="00076035" w:rsidRPr="00076035">
        <w:rPr>
          <w:rFonts w:hint="eastAsia"/>
          <w:color w:val="FF0000"/>
        </w:rPr>
        <w:t>【</w:t>
      </w:r>
      <w:r w:rsidR="00076035" w:rsidRPr="00076035">
        <w:rPr>
          <w:color w:val="FF0000"/>
        </w:rPr>
        <w:t>当年第四季度</w:t>
      </w:r>
      <w:r w:rsidR="00076035" w:rsidRPr="00076035">
        <w:rPr>
          <w:rFonts w:hint="eastAsia"/>
          <w:color w:val="FF0000"/>
        </w:rPr>
        <w:t>】</w:t>
      </w:r>
      <w:r w:rsidR="00076035">
        <w:t>和全年国际收支平衡表</w:t>
      </w:r>
      <w:r w:rsidR="00076035">
        <w:rPr>
          <w:rFonts w:hint="eastAsia"/>
        </w:rPr>
        <w:t>【</w:t>
      </w:r>
      <w:r w:rsidR="00076035">
        <w:t>正式数</w:t>
      </w:r>
      <w:r w:rsidR="00076035">
        <w:rPr>
          <w:rFonts w:hint="eastAsia"/>
        </w:rPr>
        <w:t>】</w:t>
      </w:r>
      <w:r w:rsidR="00076035">
        <w:t>时，同时修订上年各季度国际收支平衡表数据。</w:t>
      </w:r>
    </w:p>
    <w:p w14:paraId="53C6E443" w14:textId="77777777" w:rsidR="00112252" w:rsidRDefault="00112252" w:rsidP="00112252">
      <w:pPr>
        <w:rPr>
          <w:rFonts w:hint="eastAsia"/>
        </w:rPr>
      </w:pPr>
    </w:p>
    <w:p w14:paraId="2FA52880" w14:textId="28A5BED5" w:rsidR="0017585B" w:rsidRPr="001E3C23" w:rsidRDefault="0017585B" w:rsidP="00112252">
      <w:pPr>
        <w:pStyle w:val="Style1"/>
      </w:pPr>
      <w:r w:rsidRPr="001E3C23">
        <w:rPr>
          <w:rFonts w:hint="eastAsia"/>
        </w:rPr>
        <w:t>银行代客</w:t>
      </w:r>
      <w:proofErr w:type="gramStart"/>
      <w:r w:rsidRPr="001E3C23">
        <w:rPr>
          <w:rFonts w:hint="eastAsia"/>
        </w:rPr>
        <w:t>涉外收</w:t>
      </w:r>
      <w:proofErr w:type="gramEnd"/>
      <w:r w:rsidRPr="001E3C23">
        <w:rPr>
          <w:rFonts w:hint="eastAsia"/>
        </w:rPr>
        <w:t>付款</w:t>
      </w:r>
    </w:p>
    <w:p w14:paraId="2880EAD6" w14:textId="747F7E84" w:rsidR="00A5057B" w:rsidRPr="00A5057B" w:rsidRDefault="00A5057B" w:rsidP="00A5057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统计对象：</w:t>
      </w:r>
      <w:r>
        <w:rPr>
          <w:rFonts w:ascii="Helvetica Neue" w:hAnsi="Helvetica Neue"/>
          <w:spacing w:val="7"/>
          <w:szCs w:val="21"/>
          <w:shd w:val="clear" w:color="auto" w:fill="FFFFFF"/>
        </w:rPr>
        <w:t>数据主要反映了</w:t>
      </w:r>
      <w:r>
        <w:rPr>
          <w:rFonts w:ascii="Helvetica Neue" w:hAnsi="Helvetica Neue" w:hint="eastAsia"/>
          <w:spacing w:val="7"/>
          <w:szCs w:val="21"/>
          <w:shd w:val="clear" w:color="auto" w:fill="FFFFFF"/>
        </w:rPr>
        <w:t>【</w:t>
      </w:r>
      <w:r>
        <w:rPr>
          <w:rFonts w:ascii="Helvetica Neue" w:hAnsi="Helvetica Neue"/>
          <w:spacing w:val="7"/>
          <w:szCs w:val="21"/>
          <w:shd w:val="clear" w:color="auto" w:fill="FFFFFF"/>
        </w:rPr>
        <w:t>境内企业（含保险、证券等非银行金融机构）</w:t>
      </w:r>
      <w:r>
        <w:rPr>
          <w:rFonts w:ascii="Helvetica Neue" w:hAnsi="Helvetica Neue" w:hint="eastAsia"/>
          <w:spacing w:val="7"/>
          <w:szCs w:val="21"/>
          <w:shd w:val="clear" w:color="auto" w:fill="FFFFFF"/>
        </w:rPr>
        <w:t>】</w:t>
      </w:r>
      <w:r>
        <w:rPr>
          <w:rFonts w:ascii="Helvetica Neue" w:hAnsi="Helvetica Neue"/>
          <w:spacing w:val="7"/>
          <w:szCs w:val="21"/>
          <w:shd w:val="clear" w:color="auto" w:fill="FFFFFF"/>
        </w:rPr>
        <w:t>和</w:t>
      </w:r>
      <w:r>
        <w:rPr>
          <w:rFonts w:ascii="Helvetica Neue" w:hAnsi="Helvetica Neue" w:hint="eastAsia"/>
          <w:spacing w:val="7"/>
          <w:szCs w:val="21"/>
          <w:shd w:val="clear" w:color="auto" w:fill="FFFFFF"/>
        </w:rPr>
        <w:t>【</w:t>
      </w:r>
      <w:r>
        <w:rPr>
          <w:rFonts w:ascii="Helvetica Neue" w:hAnsi="Helvetica Neue"/>
          <w:spacing w:val="7"/>
          <w:szCs w:val="21"/>
          <w:shd w:val="clear" w:color="auto" w:fill="FFFFFF"/>
        </w:rPr>
        <w:t>个人</w:t>
      </w:r>
      <w:r>
        <w:rPr>
          <w:rFonts w:ascii="Helvetica Neue" w:hAnsi="Helvetica Neue" w:hint="eastAsia"/>
          <w:spacing w:val="7"/>
          <w:szCs w:val="21"/>
          <w:shd w:val="clear" w:color="auto" w:fill="FFFFFF"/>
        </w:rPr>
        <w:t>】</w:t>
      </w:r>
      <w:r>
        <w:rPr>
          <w:rFonts w:ascii="Helvetica Neue" w:hAnsi="Helvetica Neue"/>
          <w:spacing w:val="7"/>
          <w:szCs w:val="21"/>
          <w:shd w:val="clear" w:color="auto" w:fill="FFFFFF"/>
        </w:rPr>
        <w:t>（</w:t>
      </w:r>
      <w:r>
        <w:rPr>
          <w:rFonts w:ascii="Helvetica Neue" w:hAnsi="Helvetica Neue" w:hint="eastAsia"/>
          <w:spacing w:val="7"/>
          <w:szCs w:val="21"/>
          <w:shd w:val="clear" w:color="auto" w:fill="FFFFFF"/>
        </w:rPr>
        <w:t>二者</w:t>
      </w:r>
      <w:r>
        <w:rPr>
          <w:rFonts w:ascii="Helvetica Neue" w:hAnsi="Helvetica Neue"/>
          <w:spacing w:val="7"/>
          <w:szCs w:val="21"/>
          <w:shd w:val="clear" w:color="auto" w:fill="FFFFFF"/>
        </w:rPr>
        <w:t>统称非银行部门）通过</w:t>
      </w:r>
      <w:r>
        <w:rPr>
          <w:rFonts w:ascii="Helvetica Neue" w:hAnsi="Helvetica Neue" w:hint="eastAsia"/>
          <w:spacing w:val="7"/>
          <w:szCs w:val="21"/>
          <w:shd w:val="clear" w:color="auto" w:fill="FFFFFF"/>
        </w:rPr>
        <w:t>【</w:t>
      </w:r>
      <w:r>
        <w:rPr>
          <w:rFonts w:ascii="Helvetica Neue" w:hAnsi="Helvetica Neue"/>
          <w:spacing w:val="7"/>
          <w:szCs w:val="21"/>
          <w:shd w:val="clear" w:color="auto" w:fill="FFFFFF"/>
        </w:rPr>
        <w:t>境内银行</w:t>
      </w:r>
      <w:r>
        <w:rPr>
          <w:rFonts w:ascii="Helvetica Neue" w:hAnsi="Helvetica Neue" w:hint="eastAsia"/>
          <w:spacing w:val="7"/>
          <w:szCs w:val="21"/>
          <w:shd w:val="clear" w:color="auto" w:fill="FFFFFF"/>
        </w:rPr>
        <w:t>】</w:t>
      </w:r>
      <w:r>
        <w:rPr>
          <w:rFonts w:ascii="Helvetica Neue" w:hAnsi="Helvetica Neue"/>
          <w:spacing w:val="7"/>
          <w:szCs w:val="21"/>
          <w:shd w:val="clear" w:color="auto" w:fill="FFFFFF"/>
        </w:rPr>
        <w:t>与</w:t>
      </w:r>
      <w:r>
        <w:rPr>
          <w:rFonts w:ascii="Helvetica Neue" w:hAnsi="Helvetica Neue" w:hint="eastAsia"/>
          <w:spacing w:val="7"/>
          <w:szCs w:val="21"/>
          <w:shd w:val="clear" w:color="auto" w:fill="FFFFFF"/>
        </w:rPr>
        <w:t>【</w:t>
      </w:r>
      <w:r>
        <w:rPr>
          <w:rFonts w:ascii="Helvetica Neue" w:hAnsi="Helvetica Neue"/>
          <w:spacing w:val="7"/>
          <w:szCs w:val="21"/>
          <w:shd w:val="clear" w:color="auto" w:fill="FFFFFF"/>
        </w:rPr>
        <w:t>非居民机构和个人</w:t>
      </w:r>
      <w:r>
        <w:rPr>
          <w:rFonts w:ascii="Helvetica Neue" w:hAnsi="Helvetica Neue" w:hint="eastAsia"/>
          <w:spacing w:val="7"/>
          <w:szCs w:val="21"/>
          <w:shd w:val="clear" w:color="auto" w:fill="FFFFFF"/>
        </w:rPr>
        <w:t>】</w:t>
      </w:r>
      <w:r>
        <w:rPr>
          <w:rFonts w:ascii="Helvetica Neue" w:hAnsi="Helvetica Neue"/>
          <w:spacing w:val="7"/>
          <w:szCs w:val="21"/>
          <w:shd w:val="clear" w:color="auto" w:fill="FFFFFF"/>
        </w:rPr>
        <w:t>之间办理的对外付款或收款（本外币），</w:t>
      </w:r>
      <w:r w:rsidR="001E3C23" w:rsidRPr="001E3C23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但</w:t>
      </w:r>
      <w:r w:rsidRPr="00A5057B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不包括</w:t>
      </w:r>
      <w:r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【</w:t>
      </w:r>
      <w:r w:rsidRPr="00A5057B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现钞收付</w:t>
      </w:r>
      <w:r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】</w:t>
      </w:r>
      <w:r w:rsidRPr="00A5057B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和</w:t>
      </w:r>
      <w:r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【</w:t>
      </w:r>
      <w:r w:rsidRPr="00A5057B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银行自身涉外收付款</w:t>
      </w:r>
      <w:r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】</w:t>
      </w:r>
      <w:r w:rsidRPr="00A5057B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。</w:t>
      </w:r>
      <w:r>
        <w:rPr>
          <w:rFonts w:ascii="Helvetica Neue" w:hAnsi="Helvetica Neue"/>
          <w:spacing w:val="7"/>
          <w:szCs w:val="21"/>
          <w:shd w:val="clear" w:color="auto" w:fill="FFFFFF"/>
        </w:rPr>
        <w:t>具体包括：</w:t>
      </w:r>
    </w:p>
    <w:p w14:paraId="74B48A0B" w14:textId="3F178F4A" w:rsidR="00A5057B" w:rsidRPr="00A5057B" w:rsidRDefault="00A5057B" w:rsidP="00A5057B">
      <w:pPr>
        <w:pStyle w:val="ListParagraph"/>
        <w:numPr>
          <w:ilvl w:val="0"/>
          <w:numId w:val="3"/>
        </w:numPr>
        <w:ind w:firstLineChars="0"/>
      </w:pPr>
      <w:r>
        <w:rPr>
          <w:rFonts w:ascii="Helvetica Neue" w:hAnsi="Helvetica Neue"/>
          <w:spacing w:val="7"/>
          <w:szCs w:val="21"/>
          <w:shd w:val="clear" w:color="auto" w:fill="FFFFFF"/>
        </w:rPr>
        <w:t>非银行部门和非居民之间通过境内银行发生的</w:t>
      </w:r>
      <w:r w:rsidRPr="00A5057B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【</w:t>
      </w:r>
      <w:r w:rsidRPr="00A5057B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跨境</w:t>
      </w:r>
      <w:r w:rsidRPr="00A5057B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】</w:t>
      </w:r>
      <w:r w:rsidRPr="00A5057B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收付款（包括外汇和人民币）</w:t>
      </w:r>
    </w:p>
    <w:p w14:paraId="250574F0" w14:textId="77777777" w:rsidR="001E3C23" w:rsidRPr="001E3C23" w:rsidRDefault="00A5057B" w:rsidP="00A5057B">
      <w:pPr>
        <w:pStyle w:val="ListParagraph"/>
        <w:numPr>
          <w:ilvl w:val="0"/>
          <w:numId w:val="3"/>
        </w:numPr>
        <w:ind w:firstLineChars="0"/>
      </w:pPr>
      <w:r>
        <w:rPr>
          <w:rFonts w:ascii="Helvetica Neue" w:hAnsi="Helvetica Neue"/>
          <w:spacing w:val="7"/>
          <w:szCs w:val="21"/>
          <w:shd w:val="clear" w:color="auto" w:fill="FFFFFF"/>
        </w:rPr>
        <w:t>非银行部门和非居民之间通过境内银行发生的</w:t>
      </w:r>
      <w:r w:rsidRPr="001E3C23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【</w:t>
      </w:r>
      <w:r w:rsidRPr="001E3C23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境内</w:t>
      </w:r>
      <w:r w:rsidRPr="001E3C23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】</w:t>
      </w:r>
      <w:r>
        <w:rPr>
          <w:rFonts w:ascii="Helvetica Neue" w:hAnsi="Helvetica Neue"/>
          <w:spacing w:val="7"/>
          <w:szCs w:val="21"/>
          <w:shd w:val="clear" w:color="auto" w:fill="FFFFFF"/>
        </w:rPr>
        <w:t>收付款</w:t>
      </w:r>
      <w:r w:rsidRPr="001E3C23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（暂不包括境内</w:t>
      </w:r>
      <w:r w:rsidR="001E3C23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【</w:t>
      </w:r>
      <w:r w:rsidRPr="001E3C23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居民个人</w:t>
      </w:r>
      <w:r w:rsidR="001E3C23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】</w:t>
      </w:r>
      <w:r w:rsidRPr="001E3C23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与境内</w:t>
      </w:r>
      <w:r w:rsidR="001E3C23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【</w:t>
      </w:r>
      <w:r w:rsidRPr="001E3C23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非居民个人</w:t>
      </w:r>
      <w:r w:rsidR="001E3C23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】</w:t>
      </w:r>
      <w:r w:rsidRPr="001E3C23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之间发生的</w:t>
      </w:r>
      <w:r w:rsidR="001E3C23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【</w:t>
      </w:r>
      <w:r w:rsidRPr="001E3C23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人民币</w:t>
      </w:r>
      <w:r w:rsidR="001E3C23">
        <w:rPr>
          <w:rFonts w:ascii="Helvetica Neue" w:hAnsi="Helvetica Neue" w:hint="eastAsia"/>
          <w:color w:val="FF0000"/>
          <w:spacing w:val="7"/>
          <w:szCs w:val="21"/>
          <w:shd w:val="clear" w:color="auto" w:fill="FFFFFF"/>
        </w:rPr>
        <w:t>】</w:t>
      </w:r>
      <w:r w:rsidRPr="001E3C23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收付款）</w:t>
      </w:r>
    </w:p>
    <w:p w14:paraId="5117C118" w14:textId="16C904F1" w:rsidR="00A5057B" w:rsidRDefault="00A5057B" w:rsidP="001E3C2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1E3C23">
        <w:rPr>
          <w:rFonts w:ascii="Helvetica Neue" w:hAnsi="Helvetica Neue"/>
          <w:spacing w:val="7"/>
          <w:szCs w:val="21"/>
          <w:shd w:val="clear" w:color="auto" w:fill="FFFFFF"/>
        </w:rPr>
        <w:t>统计时点</w:t>
      </w:r>
      <w:r w:rsidR="001E3C23">
        <w:rPr>
          <w:rFonts w:ascii="Helvetica Neue" w:hAnsi="Helvetica Neue" w:hint="eastAsia"/>
          <w:spacing w:val="7"/>
          <w:szCs w:val="21"/>
          <w:shd w:val="clear" w:color="auto" w:fill="FFFFFF"/>
        </w:rPr>
        <w:t>：</w:t>
      </w:r>
      <w:r w:rsidRPr="001E3C23">
        <w:rPr>
          <w:rFonts w:ascii="Helvetica Neue" w:hAnsi="Helvetica Neue"/>
          <w:spacing w:val="7"/>
          <w:szCs w:val="21"/>
          <w:shd w:val="clear" w:color="auto" w:fill="FFFFFF"/>
        </w:rPr>
        <w:t>客户在境内银行办理</w:t>
      </w:r>
      <w:proofErr w:type="gramStart"/>
      <w:r w:rsidRPr="001E3C23">
        <w:rPr>
          <w:rFonts w:ascii="Helvetica Neue" w:hAnsi="Helvetica Neue"/>
          <w:spacing w:val="7"/>
          <w:szCs w:val="21"/>
          <w:shd w:val="clear" w:color="auto" w:fill="FFFFFF"/>
        </w:rPr>
        <w:t>涉外收</w:t>
      </w:r>
      <w:proofErr w:type="gramEnd"/>
      <w:r w:rsidRPr="001E3C23">
        <w:rPr>
          <w:rFonts w:ascii="Helvetica Neue" w:hAnsi="Helvetica Neue"/>
          <w:spacing w:val="7"/>
          <w:szCs w:val="21"/>
          <w:shd w:val="clear" w:color="auto" w:fill="FFFFFF"/>
        </w:rPr>
        <w:t>付款时</w:t>
      </w:r>
      <w:r w:rsidR="001E3C23" w:rsidRPr="001E3C23">
        <w:rPr>
          <w:rFonts w:ascii="Helvetica Neue" w:hAnsi="Helvetica Neue" w:hint="eastAsia"/>
          <w:b/>
          <w:bCs/>
          <w:spacing w:val="7"/>
          <w:szCs w:val="21"/>
          <w:shd w:val="clear" w:color="auto" w:fill="FFFFFF"/>
        </w:rPr>
        <w:t>（收付实现制）</w:t>
      </w:r>
    </w:p>
    <w:p w14:paraId="069BAFEB" w14:textId="77777777" w:rsidR="00A5057B" w:rsidRDefault="008E02FA" w:rsidP="008E02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频率：月度</w:t>
      </w:r>
    </w:p>
    <w:p w14:paraId="783372DE" w14:textId="547ED769" w:rsidR="00076035" w:rsidRPr="00076035" w:rsidRDefault="00076035" w:rsidP="008E02F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076035">
        <w:rPr>
          <w:rFonts w:hint="eastAsia"/>
          <w:highlight w:val="yellow"/>
        </w:rPr>
        <w:t>发布时间：</w:t>
      </w:r>
    </w:p>
    <w:p w14:paraId="52F8E75F" w14:textId="77777777" w:rsidR="00A5057B" w:rsidRDefault="008E02FA" w:rsidP="008E02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计价单位：人民币</w:t>
      </w:r>
      <w:r>
        <w:rPr>
          <w:rFonts w:hint="eastAsia"/>
        </w:rPr>
        <w:t>/</w:t>
      </w:r>
      <w:r>
        <w:rPr>
          <w:rFonts w:hint="eastAsia"/>
        </w:rPr>
        <w:t>美元</w:t>
      </w:r>
    </w:p>
    <w:p w14:paraId="2D43CF76" w14:textId="22BE3F3D" w:rsidR="00A5057B" w:rsidRDefault="00112252" w:rsidP="008E02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统计表结构：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737"/>
        <w:gridCol w:w="2737"/>
      </w:tblGrid>
      <w:tr w:rsidR="00A5057B" w:rsidRPr="00A5057B" w14:paraId="61F7526F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19429AF2" w14:textId="77777777" w:rsidR="00A5057B" w:rsidRPr="00A5057B" w:rsidRDefault="00A5057B" w:rsidP="00A5057B">
            <w:pPr>
              <w:rPr>
                <w:b/>
                <w:bCs/>
                <w:sz w:val="18"/>
                <w:szCs w:val="18"/>
              </w:rPr>
            </w:pPr>
            <w:r w:rsidRPr="00A5057B">
              <w:rPr>
                <w:rFonts w:hint="eastAsia"/>
                <w:b/>
                <w:bCs/>
                <w:sz w:val="18"/>
                <w:szCs w:val="18"/>
              </w:rPr>
              <w:t>一、收入</w:t>
            </w:r>
          </w:p>
        </w:tc>
        <w:tc>
          <w:tcPr>
            <w:tcW w:w="2737" w:type="dxa"/>
            <w:noWrap/>
            <w:hideMark/>
          </w:tcPr>
          <w:p w14:paraId="2B3EE69E" w14:textId="77777777" w:rsidR="00A5057B" w:rsidRPr="00A5057B" w:rsidRDefault="00A5057B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A5057B">
              <w:rPr>
                <w:rFonts w:hint="eastAsia"/>
                <w:b/>
                <w:bCs/>
                <w:sz w:val="18"/>
                <w:szCs w:val="18"/>
              </w:rPr>
              <w:t>二、支出</w:t>
            </w:r>
          </w:p>
        </w:tc>
        <w:tc>
          <w:tcPr>
            <w:tcW w:w="2737" w:type="dxa"/>
            <w:noWrap/>
            <w:hideMark/>
          </w:tcPr>
          <w:p w14:paraId="272217C9" w14:textId="77777777" w:rsidR="00A5057B" w:rsidRPr="00A5057B" w:rsidRDefault="00A5057B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A5057B">
              <w:rPr>
                <w:rFonts w:hint="eastAsia"/>
                <w:b/>
                <w:bCs/>
                <w:sz w:val="18"/>
                <w:szCs w:val="18"/>
              </w:rPr>
              <w:t>三、收支差额</w:t>
            </w:r>
          </w:p>
        </w:tc>
      </w:tr>
      <w:tr w:rsidR="00A5057B" w:rsidRPr="00A5057B" w14:paraId="298D4D4C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6822530C" w14:textId="77777777" w:rsidR="00A5057B" w:rsidRPr="00A5057B" w:rsidRDefault="00A5057B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A5057B">
              <w:rPr>
                <w:rFonts w:hint="eastAsia"/>
                <w:b/>
                <w:bCs/>
                <w:sz w:val="18"/>
                <w:szCs w:val="18"/>
              </w:rPr>
              <w:t>按交易项目：</w:t>
            </w:r>
          </w:p>
        </w:tc>
        <w:tc>
          <w:tcPr>
            <w:tcW w:w="2737" w:type="dxa"/>
            <w:noWrap/>
            <w:hideMark/>
          </w:tcPr>
          <w:p w14:paraId="07D8F4B0" w14:textId="77777777" w:rsidR="00A5057B" w:rsidRPr="00A5057B" w:rsidRDefault="00A5057B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A5057B">
              <w:rPr>
                <w:rFonts w:hint="eastAsia"/>
                <w:b/>
                <w:bCs/>
                <w:sz w:val="18"/>
                <w:szCs w:val="18"/>
              </w:rPr>
              <w:t>按交易项目：</w:t>
            </w:r>
          </w:p>
        </w:tc>
        <w:tc>
          <w:tcPr>
            <w:tcW w:w="2737" w:type="dxa"/>
            <w:noWrap/>
            <w:hideMark/>
          </w:tcPr>
          <w:p w14:paraId="292FCB0C" w14:textId="77777777" w:rsidR="00A5057B" w:rsidRPr="00A5057B" w:rsidRDefault="00A5057B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A5057B">
              <w:rPr>
                <w:rFonts w:hint="eastAsia"/>
                <w:b/>
                <w:bCs/>
                <w:sz w:val="18"/>
                <w:szCs w:val="18"/>
              </w:rPr>
              <w:t>按交易项目：</w:t>
            </w:r>
          </w:p>
        </w:tc>
      </w:tr>
      <w:tr w:rsidR="00A5057B" w:rsidRPr="00A5057B" w14:paraId="35EF13B3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2CDB3075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1.</w:t>
            </w:r>
            <w:r w:rsidRPr="00A5057B">
              <w:rPr>
                <w:rFonts w:hint="eastAsia"/>
                <w:sz w:val="18"/>
                <w:szCs w:val="18"/>
              </w:rPr>
              <w:t>经常账户</w:t>
            </w:r>
          </w:p>
        </w:tc>
        <w:tc>
          <w:tcPr>
            <w:tcW w:w="2737" w:type="dxa"/>
            <w:noWrap/>
            <w:hideMark/>
          </w:tcPr>
          <w:p w14:paraId="6FDEB5CB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1.</w:t>
            </w:r>
            <w:r w:rsidRPr="00A5057B">
              <w:rPr>
                <w:rFonts w:hint="eastAsia"/>
                <w:sz w:val="18"/>
                <w:szCs w:val="18"/>
              </w:rPr>
              <w:t>经常账户</w:t>
            </w:r>
          </w:p>
        </w:tc>
        <w:tc>
          <w:tcPr>
            <w:tcW w:w="2737" w:type="dxa"/>
            <w:noWrap/>
            <w:hideMark/>
          </w:tcPr>
          <w:p w14:paraId="4DF11CEA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1.</w:t>
            </w:r>
            <w:r w:rsidRPr="00A5057B">
              <w:rPr>
                <w:rFonts w:hint="eastAsia"/>
                <w:sz w:val="18"/>
                <w:szCs w:val="18"/>
              </w:rPr>
              <w:t>经常账户</w:t>
            </w:r>
          </w:p>
        </w:tc>
      </w:tr>
      <w:tr w:rsidR="00A5057B" w:rsidRPr="00A5057B" w14:paraId="63F3EF5C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2FD399F0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1.1</w:t>
            </w:r>
            <w:r w:rsidRPr="00A5057B">
              <w:rPr>
                <w:rFonts w:hint="eastAsia"/>
                <w:sz w:val="18"/>
                <w:szCs w:val="18"/>
              </w:rPr>
              <w:t>货物贸易</w:t>
            </w:r>
          </w:p>
        </w:tc>
        <w:tc>
          <w:tcPr>
            <w:tcW w:w="2737" w:type="dxa"/>
            <w:noWrap/>
            <w:hideMark/>
          </w:tcPr>
          <w:p w14:paraId="63C552D8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1.1</w:t>
            </w:r>
            <w:r w:rsidRPr="00A5057B">
              <w:rPr>
                <w:rFonts w:hint="eastAsia"/>
                <w:sz w:val="18"/>
                <w:szCs w:val="18"/>
              </w:rPr>
              <w:t>货物贸易</w:t>
            </w:r>
          </w:p>
        </w:tc>
        <w:tc>
          <w:tcPr>
            <w:tcW w:w="2737" w:type="dxa"/>
            <w:noWrap/>
            <w:hideMark/>
          </w:tcPr>
          <w:p w14:paraId="24080D53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1.1</w:t>
            </w:r>
            <w:r w:rsidRPr="00A5057B">
              <w:rPr>
                <w:rFonts w:hint="eastAsia"/>
                <w:sz w:val="18"/>
                <w:szCs w:val="18"/>
              </w:rPr>
              <w:t>货物贸易</w:t>
            </w:r>
          </w:p>
        </w:tc>
      </w:tr>
      <w:tr w:rsidR="00A5057B" w:rsidRPr="00A5057B" w14:paraId="4DE28763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20327DD5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1.2</w:t>
            </w:r>
            <w:r w:rsidRPr="00A5057B">
              <w:rPr>
                <w:rFonts w:hint="eastAsia"/>
                <w:sz w:val="18"/>
                <w:szCs w:val="18"/>
              </w:rPr>
              <w:t>服务</w:t>
            </w:r>
          </w:p>
        </w:tc>
        <w:tc>
          <w:tcPr>
            <w:tcW w:w="2737" w:type="dxa"/>
            <w:noWrap/>
            <w:hideMark/>
          </w:tcPr>
          <w:p w14:paraId="4C120CF3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1.2</w:t>
            </w:r>
            <w:r w:rsidRPr="00A5057B">
              <w:rPr>
                <w:rFonts w:hint="eastAsia"/>
                <w:sz w:val="18"/>
                <w:szCs w:val="18"/>
              </w:rPr>
              <w:t>服务</w:t>
            </w:r>
          </w:p>
        </w:tc>
        <w:tc>
          <w:tcPr>
            <w:tcW w:w="2737" w:type="dxa"/>
            <w:noWrap/>
            <w:hideMark/>
          </w:tcPr>
          <w:p w14:paraId="6B87A56F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1.2</w:t>
            </w:r>
            <w:r w:rsidRPr="00A5057B"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A5057B" w:rsidRPr="00A5057B" w14:paraId="0D8E1757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0670C8BF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1.3</w:t>
            </w:r>
            <w:r w:rsidRPr="00A5057B">
              <w:rPr>
                <w:rFonts w:hint="eastAsia"/>
                <w:sz w:val="18"/>
                <w:szCs w:val="18"/>
              </w:rPr>
              <w:t>初次收入和二次收入</w:t>
            </w:r>
          </w:p>
        </w:tc>
        <w:tc>
          <w:tcPr>
            <w:tcW w:w="2737" w:type="dxa"/>
            <w:noWrap/>
            <w:hideMark/>
          </w:tcPr>
          <w:p w14:paraId="2FD1EA74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1.3</w:t>
            </w:r>
            <w:r w:rsidRPr="00A5057B">
              <w:rPr>
                <w:rFonts w:hint="eastAsia"/>
                <w:sz w:val="18"/>
                <w:szCs w:val="18"/>
              </w:rPr>
              <w:t>初次收入和二次收入</w:t>
            </w:r>
          </w:p>
        </w:tc>
        <w:tc>
          <w:tcPr>
            <w:tcW w:w="2737" w:type="dxa"/>
            <w:noWrap/>
            <w:hideMark/>
          </w:tcPr>
          <w:p w14:paraId="231C3E48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1.3</w:t>
            </w:r>
            <w:r w:rsidRPr="00A5057B">
              <w:rPr>
                <w:rFonts w:hint="eastAsia"/>
                <w:sz w:val="18"/>
                <w:szCs w:val="18"/>
              </w:rPr>
              <w:t>初次收入和二次收入</w:t>
            </w:r>
          </w:p>
        </w:tc>
      </w:tr>
      <w:tr w:rsidR="00A5057B" w:rsidRPr="00A5057B" w14:paraId="1938B614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1F222D83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</w:t>
            </w:r>
            <w:r w:rsidRPr="00A5057B">
              <w:rPr>
                <w:rFonts w:hint="eastAsia"/>
                <w:sz w:val="18"/>
                <w:szCs w:val="18"/>
              </w:rPr>
              <w:t>海关统计口径的货物贸易</w:t>
            </w:r>
            <w:r w:rsidRPr="00A5057B">
              <w:rPr>
                <w:rFonts w:hint="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737" w:type="dxa"/>
            <w:noWrap/>
            <w:hideMark/>
          </w:tcPr>
          <w:p w14:paraId="7D38CA4F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</w:t>
            </w:r>
            <w:r w:rsidRPr="00A5057B">
              <w:rPr>
                <w:rFonts w:hint="eastAsia"/>
                <w:sz w:val="18"/>
                <w:szCs w:val="18"/>
              </w:rPr>
              <w:t>海关统计口径的货物贸易</w:t>
            </w:r>
          </w:p>
        </w:tc>
        <w:tc>
          <w:tcPr>
            <w:tcW w:w="2737" w:type="dxa"/>
            <w:noWrap/>
            <w:hideMark/>
          </w:tcPr>
          <w:p w14:paraId="06B64318" w14:textId="77777777" w:rsidR="00A5057B" w:rsidRPr="00A5057B" w:rsidRDefault="00A5057B" w:rsidP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</w:t>
            </w:r>
            <w:r w:rsidRPr="00A5057B">
              <w:rPr>
                <w:rFonts w:hint="eastAsia"/>
                <w:sz w:val="18"/>
                <w:szCs w:val="18"/>
              </w:rPr>
              <w:t>海关统计口径的货物贸易</w:t>
            </w:r>
          </w:p>
        </w:tc>
      </w:tr>
      <w:tr w:rsidR="00A5057B" w:rsidRPr="00A5057B" w14:paraId="36CEA982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2FADE63F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2.</w:t>
            </w:r>
            <w:r w:rsidRPr="00A5057B">
              <w:rPr>
                <w:rFonts w:hint="eastAsia"/>
                <w:sz w:val="18"/>
                <w:szCs w:val="18"/>
              </w:rPr>
              <w:t>资本和金融账户</w:t>
            </w:r>
          </w:p>
        </w:tc>
        <w:tc>
          <w:tcPr>
            <w:tcW w:w="2737" w:type="dxa"/>
            <w:noWrap/>
            <w:hideMark/>
          </w:tcPr>
          <w:p w14:paraId="3D66D594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2.</w:t>
            </w:r>
            <w:r w:rsidRPr="00A5057B">
              <w:rPr>
                <w:rFonts w:hint="eastAsia"/>
                <w:sz w:val="18"/>
                <w:szCs w:val="18"/>
              </w:rPr>
              <w:t>资本和金融账户</w:t>
            </w:r>
          </w:p>
        </w:tc>
        <w:tc>
          <w:tcPr>
            <w:tcW w:w="2737" w:type="dxa"/>
            <w:noWrap/>
            <w:hideMark/>
          </w:tcPr>
          <w:p w14:paraId="2D1C6EAD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2.</w:t>
            </w:r>
            <w:r w:rsidRPr="00A5057B">
              <w:rPr>
                <w:rFonts w:hint="eastAsia"/>
                <w:sz w:val="18"/>
                <w:szCs w:val="18"/>
              </w:rPr>
              <w:t>资本和金融账户</w:t>
            </w:r>
          </w:p>
        </w:tc>
      </w:tr>
      <w:tr w:rsidR="00A5057B" w:rsidRPr="00A5057B" w14:paraId="5A2FCBEC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31499EB8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</w:t>
            </w:r>
            <w:r w:rsidRPr="00A5057B">
              <w:rPr>
                <w:rFonts w:hint="eastAsia"/>
                <w:sz w:val="18"/>
                <w:szCs w:val="18"/>
              </w:rPr>
              <w:t>其中：直接投资</w:t>
            </w:r>
          </w:p>
        </w:tc>
        <w:tc>
          <w:tcPr>
            <w:tcW w:w="2737" w:type="dxa"/>
            <w:noWrap/>
            <w:hideMark/>
          </w:tcPr>
          <w:p w14:paraId="705ABF0D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</w:t>
            </w:r>
            <w:r w:rsidRPr="00A5057B">
              <w:rPr>
                <w:rFonts w:hint="eastAsia"/>
                <w:sz w:val="18"/>
                <w:szCs w:val="18"/>
              </w:rPr>
              <w:t>其中：直接投资</w:t>
            </w:r>
          </w:p>
        </w:tc>
        <w:tc>
          <w:tcPr>
            <w:tcW w:w="2737" w:type="dxa"/>
            <w:noWrap/>
            <w:hideMark/>
          </w:tcPr>
          <w:p w14:paraId="64603721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</w:t>
            </w:r>
            <w:r w:rsidRPr="00A5057B">
              <w:rPr>
                <w:rFonts w:hint="eastAsia"/>
                <w:sz w:val="18"/>
                <w:szCs w:val="18"/>
              </w:rPr>
              <w:t>其中：直接投资</w:t>
            </w:r>
          </w:p>
        </w:tc>
      </w:tr>
      <w:tr w:rsidR="00A5057B" w:rsidRPr="00A5057B" w14:paraId="619102BD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76AEFBE4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 </w:t>
            </w:r>
            <w:r w:rsidRPr="00A5057B">
              <w:rPr>
                <w:rFonts w:hint="eastAsia"/>
                <w:sz w:val="18"/>
                <w:szCs w:val="18"/>
              </w:rPr>
              <w:t>证券投资</w:t>
            </w:r>
          </w:p>
        </w:tc>
        <w:tc>
          <w:tcPr>
            <w:tcW w:w="2737" w:type="dxa"/>
            <w:noWrap/>
            <w:hideMark/>
          </w:tcPr>
          <w:p w14:paraId="32024DE5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 </w:t>
            </w:r>
            <w:r w:rsidRPr="00A5057B">
              <w:rPr>
                <w:rFonts w:hint="eastAsia"/>
                <w:sz w:val="18"/>
                <w:szCs w:val="18"/>
              </w:rPr>
              <w:t>证券投资</w:t>
            </w:r>
          </w:p>
        </w:tc>
        <w:tc>
          <w:tcPr>
            <w:tcW w:w="2737" w:type="dxa"/>
            <w:noWrap/>
            <w:hideMark/>
          </w:tcPr>
          <w:p w14:paraId="1D730B9B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 </w:t>
            </w:r>
            <w:r w:rsidRPr="00A5057B">
              <w:rPr>
                <w:rFonts w:hint="eastAsia"/>
                <w:sz w:val="18"/>
                <w:szCs w:val="18"/>
              </w:rPr>
              <w:t>证券投资</w:t>
            </w:r>
          </w:p>
        </w:tc>
      </w:tr>
      <w:tr w:rsidR="00A5057B" w:rsidRPr="00A5057B" w14:paraId="02A0FCEA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1322E6CD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 </w:t>
            </w:r>
            <w:r w:rsidRPr="00A5057B">
              <w:rPr>
                <w:rFonts w:hint="eastAsia"/>
                <w:sz w:val="18"/>
                <w:szCs w:val="18"/>
              </w:rPr>
              <w:t>其他投资</w:t>
            </w:r>
          </w:p>
        </w:tc>
        <w:tc>
          <w:tcPr>
            <w:tcW w:w="2737" w:type="dxa"/>
            <w:noWrap/>
            <w:hideMark/>
          </w:tcPr>
          <w:p w14:paraId="3CFD0DA8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 </w:t>
            </w:r>
            <w:r w:rsidRPr="00A5057B">
              <w:rPr>
                <w:rFonts w:hint="eastAsia"/>
                <w:sz w:val="18"/>
                <w:szCs w:val="18"/>
              </w:rPr>
              <w:t>其他投资</w:t>
            </w:r>
          </w:p>
        </w:tc>
        <w:tc>
          <w:tcPr>
            <w:tcW w:w="2737" w:type="dxa"/>
            <w:noWrap/>
            <w:hideMark/>
          </w:tcPr>
          <w:p w14:paraId="5301AEF0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 </w:t>
            </w:r>
            <w:r w:rsidRPr="00A5057B">
              <w:rPr>
                <w:rFonts w:hint="eastAsia"/>
                <w:sz w:val="18"/>
                <w:szCs w:val="18"/>
              </w:rPr>
              <w:t>其他投资</w:t>
            </w:r>
          </w:p>
        </w:tc>
      </w:tr>
      <w:tr w:rsidR="00A5057B" w:rsidRPr="00A5057B" w14:paraId="20A2A1C5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75135AAC" w14:textId="77777777" w:rsidR="00A5057B" w:rsidRPr="00A5057B" w:rsidRDefault="00A5057B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A5057B">
              <w:rPr>
                <w:rFonts w:hint="eastAsia"/>
                <w:b/>
                <w:bCs/>
                <w:sz w:val="18"/>
                <w:szCs w:val="18"/>
              </w:rPr>
              <w:t>按币种：</w:t>
            </w:r>
          </w:p>
        </w:tc>
        <w:tc>
          <w:tcPr>
            <w:tcW w:w="2737" w:type="dxa"/>
            <w:noWrap/>
            <w:hideMark/>
          </w:tcPr>
          <w:p w14:paraId="028A6523" w14:textId="77777777" w:rsidR="00A5057B" w:rsidRPr="00A5057B" w:rsidRDefault="00A5057B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A5057B">
              <w:rPr>
                <w:rFonts w:hint="eastAsia"/>
                <w:b/>
                <w:bCs/>
                <w:sz w:val="18"/>
                <w:szCs w:val="18"/>
              </w:rPr>
              <w:t>按币种：</w:t>
            </w:r>
          </w:p>
        </w:tc>
        <w:tc>
          <w:tcPr>
            <w:tcW w:w="2737" w:type="dxa"/>
            <w:noWrap/>
            <w:hideMark/>
          </w:tcPr>
          <w:p w14:paraId="1256A272" w14:textId="77777777" w:rsidR="00A5057B" w:rsidRPr="00A5057B" w:rsidRDefault="00A5057B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A5057B">
              <w:rPr>
                <w:rFonts w:hint="eastAsia"/>
                <w:b/>
                <w:bCs/>
                <w:sz w:val="18"/>
                <w:szCs w:val="18"/>
              </w:rPr>
              <w:t>按币种：</w:t>
            </w:r>
          </w:p>
        </w:tc>
      </w:tr>
      <w:tr w:rsidR="00A5057B" w:rsidRPr="00A5057B" w14:paraId="743C968D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1A24CF72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</w:t>
            </w:r>
            <w:r w:rsidRPr="00A5057B">
              <w:rPr>
                <w:rFonts w:hint="eastAsia"/>
                <w:sz w:val="18"/>
                <w:szCs w:val="18"/>
              </w:rPr>
              <w:t>人民币</w:t>
            </w:r>
          </w:p>
        </w:tc>
        <w:tc>
          <w:tcPr>
            <w:tcW w:w="2737" w:type="dxa"/>
            <w:noWrap/>
            <w:hideMark/>
          </w:tcPr>
          <w:p w14:paraId="113709D4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</w:t>
            </w:r>
            <w:r w:rsidRPr="00A5057B">
              <w:rPr>
                <w:rFonts w:hint="eastAsia"/>
                <w:sz w:val="18"/>
                <w:szCs w:val="18"/>
              </w:rPr>
              <w:t>人民币</w:t>
            </w:r>
          </w:p>
        </w:tc>
        <w:tc>
          <w:tcPr>
            <w:tcW w:w="2737" w:type="dxa"/>
            <w:noWrap/>
            <w:hideMark/>
          </w:tcPr>
          <w:p w14:paraId="0780D373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</w:t>
            </w:r>
            <w:r w:rsidRPr="00A5057B">
              <w:rPr>
                <w:rFonts w:hint="eastAsia"/>
                <w:sz w:val="18"/>
                <w:szCs w:val="18"/>
              </w:rPr>
              <w:t>人民币</w:t>
            </w:r>
          </w:p>
        </w:tc>
      </w:tr>
      <w:tr w:rsidR="00A5057B" w:rsidRPr="00A5057B" w14:paraId="5DEF522B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53688CC4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</w:t>
            </w:r>
            <w:r w:rsidRPr="00A5057B">
              <w:rPr>
                <w:rFonts w:hint="eastAsia"/>
                <w:sz w:val="18"/>
                <w:szCs w:val="18"/>
              </w:rPr>
              <w:t>外币</w:t>
            </w:r>
          </w:p>
        </w:tc>
        <w:tc>
          <w:tcPr>
            <w:tcW w:w="2737" w:type="dxa"/>
            <w:noWrap/>
            <w:hideMark/>
          </w:tcPr>
          <w:p w14:paraId="6CED2A9E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</w:t>
            </w:r>
            <w:r w:rsidRPr="00A5057B">
              <w:rPr>
                <w:rFonts w:hint="eastAsia"/>
                <w:sz w:val="18"/>
                <w:szCs w:val="18"/>
              </w:rPr>
              <w:t>外币</w:t>
            </w:r>
          </w:p>
        </w:tc>
        <w:tc>
          <w:tcPr>
            <w:tcW w:w="2737" w:type="dxa"/>
            <w:noWrap/>
            <w:hideMark/>
          </w:tcPr>
          <w:p w14:paraId="6188F36C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</w:t>
            </w:r>
            <w:r w:rsidRPr="00A5057B">
              <w:rPr>
                <w:rFonts w:hint="eastAsia"/>
                <w:sz w:val="18"/>
                <w:szCs w:val="18"/>
              </w:rPr>
              <w:t>外币</w:t>
            </w:r>
          </w:p>
        </w:tc>
      </w:tr>
      <w:tr w:rsidR="00A5057B" w:rsidRPr="00A5057B" w14:paraId="2763E18B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413036F4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美元</w:t>
            </w:r>
          </w:p>
        </w:tc>
        <w:tc>
          <w:tcPr>
            <w:tcW w:w="2737" w:type="dxa"/>
            <w:noWrap/>
            <w:hideMark/>
          </w:tcPr>
          <w:p w14:paraId="71B907BA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美元</w:t>
            </w:r>
          </w:p>
        </w:tc>
        <w:tc>
          <w:tcPr>
            <w:tcW w:w="2737" w:type="dxa"/>
            <w:noWrap/>
            <w:hideMark/>
          </w:tcPr>
          <w:p w14:paraId="626A69A6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美元</w:t>
            </w:r>
          </w:p>
        </w:tc>
      </w:tr>
      <w:tr w:rsidR="00A5057B" w:rsidRPr="00A5057B" w14:paraId="3AE04AB7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3DD05BFA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香港元</w:t>
            </w:r>
          </w:p>
        </w:tc>
        <w:tc>
          <w:tcPr>
            <w:tcW w:w="2737" w:type="dxa"/>
            <w:noWrap/>
            <w:hideMark/>
          </w:tcPr>
          <w:p w14:paraId="7D654E6C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香港元</w:t>
            </w:r>
          </w:p>
        </w:tc>
        <w:tc>
          <w:tcPr>
            <w:tcW w:w="2737" w:type="dxa"/>
            <w:noWrap/>
            <w:hideMark/>
          </w:tcPr>
          <w:p w14:paraId="327E85D0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香港元</w:t>
            </w:r>
          </w:p>
        </w:tc>
      </w:tr>
      <w:tr w:rsidR="00A5057B" w:rsidRPr="00A5057B" w14:paraId="129B0C3A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499F1344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欧元</w:t>
            </w:r>
          </w:p>
        </w:tc>
        <w:tc>
          <w:tcPr>
            <w:tcW w:w="2737" w:type="dxa"/>
            <w:noWrap/>
            <w:hideMark/>
          </w:tcPr>
          <w:p w14:paraId="76B2E7CC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欧元</w:t>
            </w:r>
          </w:p>
        </w:tc>
        <w:tc>
          <w:tcPr>
            <w:tcW w:w="2737" w:type="dxa"/>
            <w:noWrap/>
            <w:hideMark/>
          </w:tcPr>
          <w:p w14:paraId="487383FB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欧元</w:t>
            </w:r>
          </w:p>
        </w:tc>
      </w:tr>
      <w:tr w:rsidR="00A5057B" w:rsidRPr="00A5057B" w14:paraId="683AFABD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6130D0F4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日元</w:t>
            </w:r>
          </w:p>
        </w:tc>
        <w:tc>
          <w:tcPr>
            <w:tcW w:w="2737" w:type="dxa"/>
            <w:noWrap/>
            <w:hideMark/>
          </w:tcPr>
          <w:p w14:paraId="28CD1036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日元</w:t>
            </w:r>
          </w:p>
        </w:tc>
        <w:tc>
          <w:tcPr>
            <w:tcW w:w="2737" w:type="dxa"/>
            <w:noWrap/>
            <w:hideMark/>
          </w:tcPr>
          <w:p w14:paraId="5DF3ACD9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日元</w:t>
            </w:r>
          </w:p>
        </w:tc>
      </w:tr>
      <w:tr w:rsidR="00A5057B" w:rsidRPr="00A5057B" w14:paraId="46C41B0D" w14:textId="77777777" w:rsidTr="00A5057B">
        <w:trPr>
          <w:trHeight w:val="278"/>
        </w:trPr>
        <w:tc>
          <w:tcPr>
            <w:tcW w:w="2822" w:type="dxa"/>
            <w:noWrap/>
            <w:hideMark/>
          </w:tcPr>
          <w:p w14:paraId="39B212CE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lastRenderedPageBreak/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2737" w:type="dxa"/>
            <w:noWrap/>
            <w:hideMark/>
          </w:tcPr>
          <w:p w14:paraId="7F88431F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2737" w:type="dxa"/>
            <w:noWrap/>
            <w:hideMark/>
          </w:tcPr>
          <w:p w14:paraId="2983F7BF" w14:textId="77777777" w:rsidR="00A5057B" w:rsidRPr="00A5057B" w:rsidRDefault="00A5057B">
            <w:pPr>
              <w:rPr>
                <w:rFonts w:hint="eastAsia"/>
                <w:sz w:val="18"/>
                <w:szCs w:val="18"/>
              </w:rPr>
            </w:pPr>
            <w:r w:rsidRPr="00A5057B">
              <w:rPr>
                <w:rFonts w:hint="eastAsia"/>
                <w:sz w:val="18"/>
                <w:szCs w:val="18"/>
              </w:rPr>
              <w:t xml:space="preserve">        </w:t>
            </w:r>
            <w:r w:rsidRPr="00A5057B">
              <w:rPr>
                <w:rFonts w:hint="eastAsia"/>
                <w:sz w:val="18"/>
                <w:szCs w:val="18"/>
              </w:rPr>
              <w:t>其他</w:t>
            </w:r>
          </w:p>
        </w:tc>
      </w:tr>
    </w:tbl>
    <w:p w14:paraId="4F42C0B8" w14:textId="278B4C0D" w:rsidR="00112252" w:rsidRDefault="00112252" w:rsidP="00112252">
      <w:pPr>
        <w:pStyle w:val="Style1"/>
        <w:numPr>
          <w:ilvl w:val="0"/>
          <w:numId w:val="0"/>
        </w:numPr>
        <w:ind w:left="720" w:hanging="720"/>
        <w:rPr>
          <w:rFonts w:hint="eastAsia"/>
        </w:rPr>
      </w:pPr>
    </w:p>
    <w:p w14:paraId="3A3E0746" w14:textId="77777777" w:rsidR="00112252" w:rsidRDefault="00112252" w:rsidP="00112252">
      <w:pPr>
        <w:pStyle w:val="Style1"/>
        <w:numPr>
          <w:ilvl w:val="0"/>
          <w:numId w:val="0"/>
        </w:numPr>
        <w:ind w:left="720" w:hanging="720"/>
      </w:pPr>
    </w:p>
    <w:p w14:paraId="3958F4F0" w14:textId="4EE820C5" w:rsidR="00A5057B" w:rsidRPr="008639B2" w:rsidRDefault="001E3C23" w:rsidP="00112252">
      <w:pPr>
        <w:pStyle w:val="Style1"/>
        <w:rPr>
          <w:rFonts w:hint="eastAsia"/>
        </w:rPr>
      </w:pPr>
      <w:r w:rsidRPr="008639B2">
        <w:rPr>
          <w:rFonts w:hint="eastAsia"/>
        </w:rPr>
        <w:t>银行结售汇数据</w:t>
      </w:r>
    </w:p>
    <w:p w14:paraId="492AE0C9" w14:textId="3A5DA876" w:rsidR="00A5057B" w:rsidRDefault="00606C43" w:rsidP="00606C4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统计对象：</w:t>
      </w:r>
    </w:p>
    <w:p w14:paraId="56AF958D" w14:textId="21C7CC00" w:rsidR="00606C43" w:rsidRPr="004C3BD0" w:rsidRDefault="00606C43" w:rsidP="00606C43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112252">
        <w:rPr>
          <w:rFonts w:hint="eastAsia"/>
          <w:b/>
          <w:bCs/>
        </w:rPr>
        <w:t>自身结售汇：</w:t>
      </w:r>
      <w:r w:rsidRPr="00606C43">
        <w:rPr>
          <w:rFonts w:hint="eastAsia"/>
        </w:rPr>
        <w:t>银行自身结售汇差额通常波动较小，</w:t>
      </w:r>
      <w:r w:rsidRPr="00606C43">
        <w:rPr>
          <w:rFonts w:hint="eastAsia"/>
          <w:color w:val="FF0000"/>
        </w:rPr>
        <w:t>对境内美元资金规模的影响和反应有限（仅在代客结售汇异常波动、用以平衡头寸时会产生影响）</w:t>
      </w:r>
      <w:r w:rsidRPr="00606C43">
        <w:rPr>
          <w:rFonts w:hint="eastAsia"/>
          <w:color w:val="FF0000"/>
        </w:rPr>
        <w:t>。</w:t>
      </w:r>
      <w:r w:rsidR="004C3BD0" w:rsidRPr="004C3BD0">
        <w:rPr>
          <w:rFonts w:hint="eastAsia"/>
        </w:rPr>
        <w:t>具体而言，</w:t>
      </w:r>
      <w:r w:rsidR="004C3BD0" w:rsidRPr="004C3BD0">
        <w:rPr>
          <w:rFonts w:ascii="Helvetica Neue" w:hAnsi="Helvetica Neue"/>
          <w:spacing w:val="8"/>
          <w:szCs w:val="21"/>
          <w:shd w:val="clear" w:color="auto" w:fill="FFFFFF"/>
        </w:rPr>
        <w:t>银行自身结售汇数据涉及的是银行因黄金进出口（包括企业及居民通过银行进行的黄金买卖行为）、境外咨询费和母行管理费、日常经营费用、利润（</w:t>
      </w:r>
      <w:r w:rsidR="004C3BD0" w:rsidRPr="004C3BD0">
        <w:rPr>
          <w:rFonts w:ascii="Helvetica Neue" w:hAnsi="Helvetica Neue" w:hint="eastAsia"/>
          <w:spacing w:val="8"/>
          <w:szCs w:val="21"/>
          <w:shd w:val="clear" w:color="auto" w:fill="FFFFFF"/>
        </w:rPr>
        <w:t>对外</w:t>
      </w:r>
      <w:r w:rsidR="004C3BD0" w:rsidRPr="004C3BD0">
        <w:rPr>
          <w:rFonts w:ascii="Helvetica Neue" w:hAnsi="Helvetica Neue"/>
          <w:spacing w:val="8"/>
          <w:szCs w:val="21"/>
          <w:shd w:val="clear" w:color="auto" w:fill="FFFFFF"/>
        </w:rPr>
        <w:t>股息和</w:t>
      </w:r>
      <w:r w:rsidR="004C3BD0" w:rsidRPr="004C3BD0">
        <w:rPr>
          <w:rFonts w:ascii="Helvetica Neue" w:hAnsi="Helvetica Neue" w:hint="eastAsia"/>
          <w:spacing w:val="8"/>
          <w:szCs w:val="21"/>
          <w:shd w:val="clear" w:color="auto" w:fill="FFFFFF"/>
        </w:rPr>
        <w:t>红利兑付</w:t>
      </w:r>
      <w:r w:rsidR="004C3BD0" w:rsidRPr="004C3BD0">
        <w:rPr>
          <w:rFonts w:ascii="Helvetica Neue" w:hAnsi="Helvetica Neue"/>
          <w:spacing w:val="8"/>
          <w:szCs w:val="21"/>
          <w:shd w:val="clear" w:color="auto" w:fill="FFFFFF"/>
        </w:rPr>
        <w:t>）、</w:t>
      </w:r>
      <w:r w:rsidR="004C3BD0" w:rsidRPr="004C3BD0">
        <w:rPr>
          <w:rFonts w:ascii="Helvetica Neue" w:hAnsi="Helvetica Neue" w:hint="eastAsia"/>
          <w:spacing w:val="8"/>
          <w:szCs w:val="21"/>
          <w:shd w:val="clear" w:color="auto" w:fill="FFFFFF"/>
        </w:rPr>
        <w:t>海外分行资本金注入</w:t>
      </w:r>
      <w:r w:rsidR="004C3BD0" w:rsidRPr="004C3BD0">
        <w:rPr>
          <w:rFonts w:ascii="Helvetica Neue" w:hAnsi="Helvetica Neue"/>
          <w:spacing w:val="8"/>
          <w:szCs w:val="21"/>
          <w:shd w:val="clear" w:color="auto" w:fill="FFFFFF"/>
        </w:rPr>
        <w:t>以及本外币资产不匹配等产生的结售汇行为</w:t>
      </w:r>
      <w:r w:rsidR="004C3BD0">
        <w:rPr>
          <w:rFonts w:ascii="Helvetica Neue" w:hAnsi="Helvetica Neue" w:hint="eastAsia"/>
          <w:spacing w:val="8"/>
          <w:szCs w:val="21"/>
          <w:shd w:val="clear" w:color="auto" w:fill="FFFFFF"/>
        </w:rPr>
        <w:t>。</w:t>
      </w:r>
    </w:p>
    <w:p w14:paraId="6248B334" w14:textId="77777777" w:rsidR="00112252" w:rsidRDefault="00606C43" w:rsidP="00112252">
      <w:pPr>
        <w:pStyle w:val="ListParagraph"/>
        <w:numPr>
          <w:ilvl w:val="0"/>
          <w:numId w:val="5"/>
        </w:numPr>
        <w:ind w:firstLineChars="0"/>
      </w:pPr>
      <w:r w:rsidRPr="00112252">
        <w:rPr>
          <w:rFonts w:hint="eastAsia"/>
          <w:b/>
          <w:bCs/>
        </w:rPr>
        <w:t>代客结售汇：</w:t>
      </w:r>
      <w:r w:rsidR="00112252">
        <w:rPr>
          <w:rFonts w:hint="eastAsia"/>
        </w:rPr>
        <w:t>分为即期结售汇、远期结售汇和期权结售汇数据。具体</w:t>
      </w:r>
      <w:proofErr w:type="gramStart"/>
      <w:r w:rsidR="00112252">
        <w:rPr>
          <w:rFonts w:hint="eastAsia"/>
        </w:rPr>
        <w:t>见数据</w:t>
      </w:r>
      <w:proofErr w:type="gramEnd"/>
      <w:r w:rsidR="00112252">
        <w:rPr>
          <w:rFonts w:hint="eastAsia"/>
        </w:rPr>
        <w:t>统计表。</w:t>
      </w:r>
    </w:p>
    <w:p w14:paraId="31FE8741" w14:textId="1A0FC44F" w:rsidR="00112252" w:rsidRPr="00112252" w:rsidRDefault="00112252" w:rsidP="00112252">
      <w:pPr>
        <w:pStyle w:val="ListParagraph"/>
        <w:numPr>
          <w:ilvl w:val="0"/>
          <w:numId w:val="5"/>
        </w:numPr>
        <w:ind w:firstLineChars="0"/>
      </w:pPr>
      <w:r w:rsidRPr="00112252">
        <w:rPr>
          <w:rFonts w:hint="eastAsia"/>
        </w:rPr>
        <w:t>注：银行结售汇数据</w:t>
      </w:r>
      <w:r w:rsidR="00606C43" w:rsidRPr="00112252">
        <w:rPr>
          <w:rFonts w:ascii="Helvetica Neue" w:hAnsi="Helvetica Neue"/>
          <w:color w:val="FF0000"/>
          <w:spacing w:val="7"/>
          <w:szCs w:val="21"/>
          <w:shd w:val="clear" w:color="auto" w:fill="FFFFFF"/>
        </w:rPr>
        <w:t>不包括</w:t>
      </w:r>
      <w:r w:rsidR="00606C43" w:rsidRPr="00112252">
        <w:rPr>
          <w:rFonts w:ascii="Helvetica Neue" w:hAnsi="Helvetica Neue"/>
          <w:spacing w:val="7"/>
          <w:szCs w:val="21"/>
          <w:shd w:val="clear" w:color="auto" w:fill="FFFFFF"/>
        </w:rPr>
        <w:t>银行间外汇市场交易数据</w:t>
      </w:r>
      <w:r>
        <w:rPr>
          <w:rFonts w:ascii="Helvetica Neue" w:hAnsi="Helvetica Neue" w:hint="eastAsia"/>
          <w:spacing w:val="7"/>
          <w:szCs w:val="21"/>
          <w:shd w:val="clear" w:color="auto" w:fill="FFFFFF"/>
        </w:rPr>
        <w:t>。</w:t>
      </w:r>
    </w:p>
    <w:p w14:paraId="253548A0" w14:textId="22550070" w:rsidR="00606C43" w:rsidRDefault="00606C43" w:rsidP="000B56F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统计时点：</w:t>
      </w:r>
      <w:r w:rsidRPr="00606C43">
        <w:rPr>
          <w:rFonts w:hint="eastAsia"/>
        </w:rPr>
        <w:t>人民币与外汇兑换行为发生时，是</w:t>
      </w:r>
      <w:r w:rsidR="00112252">
        <w:rPr>
          <w:rFonts w:hint="eastAsia"/>
        </w:rPr>
        <w:t>【</w:t>
      </w:r>
      <w:r w:rsidRPr="00606C43">
        <w:rPr>
          <w:rFonts w:hint="eastAsia"/>
        </w:rPr>
        <w:t>历史计价</w:t>
      </w:r>
      <w:r w:rsidR="00112252">
        <w:rPr>
          <w:rFonts w:hint="eastAsia"/>
        </w:rPr>
        <w:t>】</w:t>
      </w:r>
      <w:r w:rsidRPr="00606C43">
        <w:rPr>
          <w:rFonts w:hint="eastAsia"/>
        </w:rPr>
        <w:t>的</w:t>
      </w:r>
      <w:proofErr w:type="gramStart"/>
      <w:r w:rsidRPr="00606C43">
        <w:rPr>
          <w:rFonts w:hint="eastAsia"/>
        </w:rPr>
        <w:t>加总统</w:t>
      </w:r>
      <w:proofErr w:type="gramEnd"/>
      <w:r w:rsidRPr="00606C43">
        <w:rPr>
          <w:rFonts w:hint="eastAsia"/>
        </w:rPr>
        <w:t>计</w:t>
      </w:r>
    </w:p>
    <w:p w14:paraId="53AB822D" w14:textId="6090F730" w:rsidR="00606C43" w:rsidRDefault="00606C43" w:rsidP="00606C4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统计方法：银行报送汇总报表</w:t>
      </w:r>
    </w:p>
    <w:p w14:paraId="10D74DCC" w14:textId="5ECF6683" w:rsidR="00606C43" w:rsidRDefault="00606C43" w:rsidP="00606C4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频率：月度</w:t>
      </w:r>
    </w:p>
    <w:p w14:paraId="04753A18" w14:textId="6F650EE3" w:rsidR="00076035" w:rsidRDefault="00076035" w:rsidP="00606C43">
      <w:pPr>
        <w:pStyle w:val="ListParagraph"/>
        <w:numPr>
          <w:ilvl w:val="0"/>
          <w:numId w:val="4"/>
        </w:numPr>
        <w:ind w:firstLineChars="0"/>
        <w:rPr>
          <w:highlight w:val="yellow"/>
        </w:rPr>
      </w:pPr>
      <w:r w:rsidRPr="00076035">
        <w:rPr>
          <w:rFonts w:hint="eastAsia"/>
          <w:highlight w:val="yellow"/>
        </w:rPr>
        <w:t>发布时间：</w:t>
      </w:r>
    </w:p>
    <w:p w14:paraId="1B1380EF" w14:textId="4633C3D2" w:rsidR="00112252" w:rsidRPr="00112252" w:rsidRDefault="00112252" w:rsidP="00606C43">
      <w:pPr>
        <w:pStyle w:val="ListParagraph"/>
        <w:numPr>
          <w:ilvl w:val="0"/>
          <w:numId w:val="4"/>
        </w:numPr>
        <w:ind w:firstLineChars="0"/>
      </w:pPr>
      <w:r w:rsidRPr="00112252">
        <w:rPr>
          <w:rFonts w:hint="eastAsia"/>
        </w:rPr>
        <w:t>统计表结构：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933"/>
        <w:gridCol w:w="698"/>
      </w:tblGrid>
      <w:tr w:rsidR="00112252" w:rsidRPr="00112252" w14:paraId="46948F0B" w14:textId="77777777" w:rsidTr="00112252">
        <w:trPr>
          <w:trHeight w:val="278"/>
        </w:trPr>
        <w:tc>
          <w:tcPr>
            <w:tcW w:w="2122" w:type="dxa"/>
            <w:noWrap/>
            <w:hideMark/>
          </w:tcPr>
          <w:p w14:paraId="14FC919A" w14:textId="77777777" w:rsidR="00112252" w:rsidRPr="00112252" w:rsidRDefault="00112252" w:rsidP="00112252">
            <w:pPr>
              <w:rPr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一、结汇</w:t>
            </w:r>
          </w:p>
        </w:tc>
        <w:tc>
          <w:tcPr>
            <w:tcW w:w="1701" w:type="dxa"/>
            <w:noWrap/>
            <w:hideMark/>
          </w:tcPr>
          <w:p w14:paraId="386A8B33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二、售汇</w:t>
            </w:r>
          </w:p>
        </w:tc>
        <w:tc>
          <w:tcPr>
            <w:tcW w:w="1842" w:type="dxa"/>
            <w:noWrap/>
            <w:hideMark/>
          </w:tcPr>
          <w:p w14:paraId="6A6AFD97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三、差额</w:t>
            </w:r>
          </w:p>
        </w:tc>
        <w:tc>
          <w:tcPr>
            <w:tcW w:w="1933" w:type="dxa"/>
            <w:vMerge w:val="restart"/>
            <w:noWrap/>
            <w:hideMark/>
          </w:tcPr>
          <w:p w14:paraId="258F706F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四、远期结售汇签约额</w:t>
            </w:r>
          </w:p>
        </w:tc>
        <w:tc>
          <w:tcPr>
            <w:tcW w:w="698" w:type="dxa"/>
            <w:noWrap/>
            <w:hideMark/>
          </w:tcPr>
          <w:p w14:paraId="0AD91F5B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结汇</w:t>
            </w:r>
          </w:p>
        </w:tc>
      </w:tr>
      <w:tr w:rsidR="00112252" w:rsidRPr="00112252" w14:paraId="6DEC20DE" w14:textId="77777777" w:rsidTr="00112252">
        <w:trPr>
          <w:trHeight w:val="278"/>
        </w:trPr>
        <w:tc>
          <w:tcPr>
            <w:tcW w:w="2122" w:type="dxa"/>
            <w:noWrap/>
            <w:hideMark/>
          </w:tcPr>
          <w:p w14:paraId="4C40808C" w14:textId="77777777" w:rsidR="00112252" w:rsidRPr="00112252" w:rsidRDefault="00112252" w:rsidP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(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一）银行自身</w:t>
            </w:r>
          </w:p>
        </w:tc>
        <w:tc>
          <w:tcPr>
            <w:tcW w:w="1701" w:type="dxa"/>
            <w:noWrap/>
            <w:hideMark/>
          </w:tcPr>
          <w:p w14:paraId="619055BF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(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一）银行自身</w:t>
            </w:r>
          </w:p>
        </w:tc>
        <w:tc>
          <w:tcPr>
            <w:tcW w:w="1842" w:type="dxa"/>
            <w:noWrap/>
            <w:hideMark/>
          </w:tcPr>
          <w:p w14:paraId="793666E3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(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一）银行自身</w:t>
            </w:r>
          </w:p>
        </w:tc>
        <w:tc>
          <w:tcPr>
            <w:tcW w:w="1933" w:type="dxa"/>
            <w:vMerge/>
            <w:hideMark/>
          </w:tcPr>
          <w:p w14:paraId="3715FEE3" w14:textId="77777777" w:rsidR="00112252" w:rsidRPr="00112252" w:rsidRDefault="00112252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98" w:type="dxa"/>
            <w:noWrap/>
            <w:hideMark/>
          </w:tcPr>
          <w:p w14:paraId="61E01E02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售汇</w:t>
            </w:r>
          </w:p>
        </w:tc>
      </w:tr>
      <w:tr w:rsidR="00112252" w:rsidRPr="00112252" w14:paraId="170353A3" w14:textId="77777777" w:rsidTr="00112252">
        <w:trPr>
          <w:trHeight w:val="278"/>
        </w:trPr>
        <w:tc>
          <w:tcPr>
            <w:tcW w:w="2122" w:type="dxa"/>
            <w:noWrap/>
            <w:hideMark/>
          </w:tcPr>
          <w:p w14:paraId="16B5E54E" w14:textId="77777777" w:rsidR="00112252" w:rsidRPr="00112252" w:rsidRDefault="00112252" w:rsidP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(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二）银行代客</w:t>
            </w:r>
          </w:p>
        </w:tc>
        <w:tc>
          <w:tcPr>
            <w:tcW w:w="1701" w:type="dxa"/>
            <w:noWrap/>
            <w:hideMark/>
          </w:tcPr>
          <w:p w14:paraId="5B2A902A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(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二）银行代客</w:t>
            </w:r>
          </w:p>
        </w:tc>
        <w:tc>
          <w:tcPr>
            <w:tcW w:w="1842" w:type="dxa"/>
            <w:noWrap/>
            <w:hideMark/>
          </w:tcPr>
          <w:p w14:paraId="0AE98942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(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二）银行代客</w:t>
            </w:r>
          </w:p>
        </w:tc>
        <w:tc>
          <w:tcPr>
            <w:tcW w:w="1933" w:type="dxa"/>
            <w:vMerge/>
            <w:hideMark/>
          </w:tcPr>
          <w:p w14:paraId="3C434EF7" w14:textId="77777777" w:rsidR="00112252" w:rsidRPr="00112252" w:rsidRDefault="00112252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98" w:type="dxa"/>
            <w:noWrap/>
            <w:hideMark/>
          </w:tcPr>
          <w:p w14:paraId="7D393716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差额</w:t>
            </w:r>
          </w:p>
        </w:tc>
      </w:tr>
      <w:tr w:rsidR="00112252" w:rsidRPr="00112252" w14:paraId="701BC26F" w14:textId="77777777" w:rsidTr="00112252">
        <w:trPr>
          <w:trHeight w:val="278"/>
        </w:trPr>
        <w:tc>
          <w:tcPr>
            <w:tcW w:w="2122" w:type="dxa"/>
            <w:noWrap/>
            <w:hideMark/>
          </w:tcPr>
          <w:p w14:paraId="75AC4571" w14:textId="77777777" w:rsidR="00112252" w:rsidRPr="00112252" w:rsidRDefault="00112252" w:rsidP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1.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经常项目</w:t>
            </w:r>
          </w:p>
        </w:tc>
        <w:tc>
          <w:tcPr>
            <w:tcW w:w="1701" w:type="dxa"/>
            <w:noWrap/>
            <w:hideMark/>
          </w:tcPr>
          <w:p w14:paraId="6CF0E6DA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1.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经常项目</w:t>
            </w:r>
          </w:p>
        </w:tc>
        <w:tc>
          <w:tcPr>
            <w:tcW w:w="1842" w:type="dxa"/>
            <w:noWrap/>
            <w:hideMark/>
          </w:tcPr>
          <w:p w14:paraId="70D51B20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1.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经常项目</w:t>
            </w:r>
          </w:p>
        </w:tc>
        <w:tc>
          <w:tcPr>
            <w:tcW w:w="1933" w:type="dxa"/>
            <w:noWrap/>
            <w:hideMark/>
          </w:tcPr>
          <w:p w14:paraId="3A7E840D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五、远期结售汇平仓额</w:t>
            </w:r>
          </w:p>
        </w:tc>
        <w:tc>
          <w:tcPr>
            <w:tcW w:w="698" w:type="dxa"/>
            <w:noWrap/>
            <w:hideMark/>
          </w:tcPr>
          <w:p w14:paraId="229CB014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差额</w:t>
            </w:r>
          </w:p>
        </w:tc>
      </w:tr>
      <w:tr w:rsidR="00112252" w:rsidRPr="00112252" w14:paraId="70ACF5B4" w14:textId="77777777" w:rsidTr="00112252">
        <w:trPr>
          <w:trHeight w:val="278"/>
        </w:trPr>
        <w:tc>
          <w:tcPr>
            <w:tcW w:w="2122" w:type="dxa"/>
            <w:noWrap/>
            <w:hideMark/>
          </w:tcPr>
          <w:p w14:paraId="73FF0DFD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1.1</w:t>
            </w:r>
            <w:r w:rsidRPr="00112252">
              <w:rPr>
                <w:rFonts w:hint="eastAsia"/>
                <w:sz w:val="15"/>
                <w:szCs w:val="15"/>
              </w:rPr>
              <w:t>货物贸易</w:t>
            </w:r>
          </w:p>
        </w:tc>
        <w:tc>
          <w:tcPr>
            <w:tcW w:w="1701" w:type="dxa"/>
            <w:noWrap/>
            <w:hideMark/>
          </w:tcPr>
          <w:p w14:paraId="1AC891E2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1.1</w:t>
            </w:r>
            <w:r w:rsidRPr="00112252">
              <w:rPr>
                <w:rFonts w:hint="eastAsia"/>
                <w:sz w:val="15"/>
                <w:szCs w:val="15"/>
              </w:rPr>
              <w:t>货物贸易</w:t>
            </w:r>
          </w:p>
        </w:tc>
        <w:tc>
          <w:tcPr>
            <w:tcW w:w="1842" w:type="dxa"/>
            <w:noWrap/>
            <w:hideMark/>
          </w:tcPr>
          <w:p w14:paraId="1B913F08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1.1</w:t>
            </w:r>
            <w:r w:rsidRPr="00112252">
              <w:rPr>
                <w:rFonts w:hint="eastAsia"/>
                <w:sz w:val="15"/>
                <w:szCs w:val="15"/>
              </w:rPr>
              <w:t>货物贸易</w:t>
            </w:r>
          </w:p>
        </w:tc>
        <w:tc>
          <w:tcPr>
            <w:tcW w:w="1933" w:type="dxa"/>
            <w:noWrap/>
            <w:hideMark/>
          </w:tcPr>
          <w:p w14:paraId="2E2BC4AA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六、远期结售</w:t>
            </w:r>
            <w:proofErr w:type="gramStart"/>
            <w:r w:rsidRPr="00112252">
              <w:rPr>
                <w:rFonts w:hint="eastAsia"/>
                <w:b/>
                <w:bCs/>
                <w:sz w:val="15"/>
                <w:szCs w:val="15"/>
              </w:rPr>
              <w:t>汇展期额</w:t>
            </w:r>
            <w:proofErr w:type="gramEnd"/>
          </w:p>
        </w:tc>
        <w:tc>
          <w:tcPr>
            <w:tcW w:w="698" w:type="dxa"/>
            <w:noWrap/>
            <w:hideMark/>
          </w:tcPr>
          <w:p w14:paraId="60246E6B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差额</w:t>
            </w:r>
          </w:p>
        </w:tc>
      </w:tr>
      <w:tr w:rsidR="00112252" w:rsidRPr="00112252" w14:paraId="52556529" w14:textId="77777777" w:rsidTr="00112252">
        <w:trPr>
          <w:trHeight w:val="278"/>
        </w:trPr>
        <w:tc>
          <w:tcPr>
            <w:tcW w:w="2122" w:type="dxa"/>
            <w:noWrap/>
            <w:hideMark/>
          </w:tcPr>
          <w:p w14:paraId="365AFDBE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1.2</w:t>
            </w:r>
            <w:r w:rsidRPr="00112252">
              <w:rPr>
                <w:rFonts w:hint="eastAsia"/>
                <w:sz w:val="15"/>
                <w:szCs w:val="15"/>
              </w:rPr>
              <w:t>服务贸易</w:t>
            </w:r>
          </w:p>
        </w:tc>
        <w:tc>
          <w:tcPr>
            <w:tcW w:w="1701" w:type="dxa"/>
            <w:noWrap/>
            <w:hideMark/>
          </w:tcPr>
          <w:p w14:paraId="5BC52588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1.2</w:t>
            </w:r>
            <w:r w:rsidRPr="00112252">
              <w:rPr>
                <w:rFonts w:hint="eastAsia"/>
                <w:sz w:val="15"/>
                <w:szCs w:val="15"/>
              </w:rPr>
              <w:t>服务贸易</w:t>
            </w:r>
          </w:p>
        </w:tc>
        <w:tc>
          <w:tcPr>
            <w:tcW w:w="1842" w:type="dxa"/>
            <w:noWrap/>
            <w:hideMark/>
          </w:tcPr>
          <w:p w14:paraId="353DC57F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1.2</w:t>
            </w:r>
            <w:r w:rsidRPr="00112252">
              <w:rPr>
                <w:rFonts w:hint="eastAsia"/>
                <w:sz w:val="15"/>
                <w:szCs w:val="15"/>
              </w:rPr>
              <w:t>服务贸易</w:t>
            </w:r>
          </w:p>
        </w:tc>
        <w:tc>
          <w:tcPr>
            <w:tcW w:w="1933" w:type="dxa"/>
            <w:vMerge w:val="restart"/>
            <w:hideMark/>
          </w:tcPr>
          <w:p w14:paraId="1DCE72FA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七、本期末远期结售汇累计未到期额</w:t>
            </w:r>
          </w:p>
        </w:tc>
        <w:tc>
          <w:tcPr>
            <w:tcW w:w="698" w:type="dxa"/>
            <w:noWrap/>
            <w:hideMark/>
          </w:tcPr>
          <w:p w14:paraId="141DB27F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结汇</w:t>
            </w:r>
          </w:p>
        </w:tc>
      </w:tr>
      <w:tr w:rsidR="00112252" w:rsidRPr="00112252" w14:paraId="1CCE03A7" w14:textId="77777777" w:rsidTr="00112252">
        <w:trPr>
          <w:trHeight w:val="278"/>
        </w:trPr>
        <w:tc>
          <w:tcPr>
            <w:tcW w:w="2122" w:type="dxa"/>
            <w:noWrap/>
            <w:hideMark/>
          </w:tcPr>
          <w:p w14:paraId="3116CA7C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1.3</w:t>
            </w:r>
            <w:r w:rsidRPr="00112252">
              <w:rPr>
                <w:rFonts w:hint="eastAsia"/>
                <w:sz w:val="15"/>
                <w:szCs w:val="15"/>
              </w:rPr>
              <w:t>收益和经常转移</w:t>
            </w:r>
          </w:p>
        </w:tc>
        <w:tc>
          <w:tcPr>
            <w:tcW w:w="1701" w:type="dxa"/>
            <w:noWrap/>
            <w:hideMark/>
          </w:tcPr>
          <w:p w14:paraId="5262C2CC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1.3</w:t>
            </w:r>
            <w:r w:rsidRPr="00112252">
              <w:rPr>
                <w:rFonts w:hint="eastAsia"/>
                <w:sz w:val="15"/>
                <w:szCs w:val="15"/>
              </w:rPr>
              <w:t>收益和经常转移</w:t>
            </w:r>
          </w:p>
        </w:tc>
        <w:tc>
          <w:tcPr>
            <w:tcW w:w="1842" w:type="dxa"/>
            <w:noWrap/>
            <w:hideMark/>
          </w:tcPr>
          <w:p w14:paraId="31D7FE73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1.3</w:t>
            </w:r>
            <w:r w:rsidRPr="00112252">
              <w:rPr>
                <w:rFonts w:hint="eastAsia"/>
                <w:sz w:val="15"/>
                <w:szCs w:val="15"/>
              </w:rPr>
              <w:t>收益和经常转移</w:t>
            </w:r>
          </w:p>
        </w:tc>
        <w:tc>
          <w:tcPr>
            <w:tcW w:w="1933" w:type="dxa"/>
            <w:vMerge/>
            <w:hideMark/>
          </w:tcPr>
          <w:p w14:paraId="464962A9" w14:textId="77777777" w:rsidR="00112252" w:rsidRPr="00112252" w:rsidRDefault="00112252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98" w:type="dxa"/>
            <w:noWrap/>
            <w:hideMark/>
          </w:tcPr>
          <w:p w14:paraId="085AC1EB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售汇</w:t>
            </w:r>
          </w:p>
        </w:tc>
      </w:tr>
      <w:tr w:rsidR="00112252" w:rsidRPr="00112252" w14:paraId="758513C9" w14:textId="77777777" w:rsidTr="00112252">
        <w:trPr>
          <w:trHeight w:val="278"/>
        </w:trPr>
        <w:tc>
          <w:tcPr>
            <w:tcW w:w="2122" w:type="dxa"/>
            <w:noWrap/>
            <w:hideMark/>
          </w:tcPr>
          <w:p w14:paraId="266EE8BF" w14:textId="77777777" w:rsidR="00112252" w:rsidRPr="00112252" w:rsidRDefault="00112252" w:rsidP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2.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资本与金融项目</w:t>
            </w:r>
          </w:p>
        </w:tc>
        <w:tc>
          <w:tcPr>
            <w:tcW w:w="1701" w:type="dxa"/>
            <w:noWrap/>
            <w:hideMark/>
          </w:tcPr>
          <w:p w14:paraId="07E3C161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2.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资本与金融项目</w:t>
            </w:r>
          </w:p>
        </w:tc>
        <w:tc>
          <w:tcPr>
            <w:tcW w:w="1842" w:type="dxa"/>
            <w:noWrap/>
            <w:hideMark/>
          </w:tcPr>
          <w:p w14:paraId="477E5F7C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2.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资本与金融项目</w:t>
            </w:r>
          </w:p>
        </w:tc>
        <w:tc>
          <w:tcPr>
            <w:tcW w:w="1933" w:type="dxa"/>
            <w:vMerge/>
            <w:hideMark/>
          </w:tcPr>
          <w:p w14:paraId="5621E931" w14:textId="77777777" w:rsidR="00112252" w:rsidRPr="00112252" w:rsidRDefault="00112252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98" w:type="dxa"/>
            <w:noWrap/>
            <w:hideMark/>
          </w:tcPr>
          <w:p w14:paraId="6DFBF223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差额</w:t>
            </w:r>
          </w:p>
        </w:tc>
      </w:tr>
      <w:tr w:rsidR="00112252" w:rsidRPr="00112252" w14:paraId="37B0DE85" w14:textId="77777777" w:rsidTr="00112252">
        <w:trPr>
          <w:trHeight w:val="278"/>
        </w:trPr>
        <w:tc>
          <w:tcPr>
            <w:tcW w:w="2122" w:type="dxa"/>
            <w:noWrap/>
            <w:hideMark/>
          </w:tcPr>
          <w:p w14:paraId="0D54F597" w14:textId="77777777" w:rsidR="00112252" w:rsidRPr="00112252" w:rsidRDefault="00112252" w:rsidP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其中</w:t>
            </w:r>
            <w:r w:rsidRPr="00112252">
              <w:rPr>
                <w:rFonts w:hint="eastAsia"/>
                <w:sz w:val="15"/>
                <w:szCs w:val="15"/>
              </w:rPr>
              <w:t xml:space="preserve">:  </w:t>
            </w:r>
            <w:r w:rsidRPr="00112252">
              <w:rPr>
                <w:rFonts w:hint="eastAsia"/>
                <w:sz w:val="15"/>
                <w:szCs w:val="15"/>
              </w:rPr>
              <w:t>直接投资</w:t>
            </w:r>
          </w:p>
        </w:tc>
        <w:tc>
          <w:tcPr>
            <w:tcW w:w="1701" w:type="dxa"/>
            <w:noWrap/>
            <w:hideMark/>
          </w:tcPr>
          <w:p w14:paraId="0F5E672B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其中</w:t>
            </w:r>
            <w:r w:rsidRPr="00112252">
              <w:rPr>
                <w:rFonts w:hint="eastAsia"/>
                <w:sz w:val="15"/>
                <w:szCs w:val="15"/>
              </w:rPr>
              <w:t xml:space="preserve">:  </w:t>
            </w:r>
            <w:r w:rsidRPr="00112252">
              <w:rPr>
                <w:rFonts w:hint="eastAsia"/>
                <w:sz w:val="15"/>
                <w:szCs w:val="15"/>
              </w:rPr>
              <w:t>直接投资</w:t>
            </w:r>
          </w:p>
        </w:tc>
        <w:tc>
          <w:tcPr>
            <w:tcW w:w="1842" w:type="dxa"/>
            <w:noWrap/>
            <w:hideMark/>
          </w:tcPr>
          <w:p w14:paraId="33A890C6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>其中</w:t>
            </w:r>
            <w:r w:rsidRPr="00112252">
              <w:rPr>
                <w:rFonts w:hint="eastAsia"/>
                <w:sz w:val="15"/>
                <w:szCs w:val="15"/>
              </w:rPr>
              <w:t xml:space="preserve">:  </w:t>
            </w:r>
            <w:r w:rsidRPr="00112252">
              <w:rPr>
                <w:rFonts w:hint="eastAsia"/>
                <w:sz w:val="15"/>
                <w:szCs w:val="15"/>
              </w:rPr>
              <w:t>直接投资</w:t>
            </w:r>
          </w:p>
        </w:tc>
        <w:tc>
          <w:tcPr>
            <w:tcW w:w="2631" w:type="dxa"/>
            <w:gridSpan w:val="2"/>
            <w:hideMark/>
          </w:tcPr>
          <w:p w14:paraId="64C6BF97" w14:textId="77777777" w:rsidR="00112252" w:rsidRPr="00112252" w:rsidRDefault="00112252">
            <w:pPr>
              <w:rPr>
                <w:rFonts w:hint="eastAsia"/>
                <w:b/>
                <w:bCs/>
                <w:sz w:val="15"/>
                <w:szCs w:val="15"/>
              </w:rPr>
            </w:pPr>
            <w:r w:rsidRPr="00112252">
              <w:rPr>
                <w:rFonts w:hint="eastAsia"/>
                <w:b/>
                <w:bCs/>
                <w:sz w:val="15"/>
                <w:szCs w:val="15"/>
              </w:rPr>
              <w:t>八、未到期期权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Delta</w:t>
            </w:r>
            <w:r w:rsidRPr="00112252">
              <w:rPr>
                <w:rFonts w:hint="eastAsia"/>
                <w:b/>
                <w:bCs/>
                <w:sz w:val="15"/>
                <w:szCs w:val="15"/>
              </w:rPr>
              <w:t>净敞口</w:t>
            </w:r>
          </w:p>
        </w:tc>
      </w:tr>
      <w:tr w:rsidR="00112252" w:rsidRPr="00112252" w14:paraId="1F979054" w14:textId="77777777" w:rsidTr="00112252">
        <w:trPr>
          <w:trHeight w:val="278"/>
        </w:trPr>
        <w:tc>
          <w:tcPr>
            <w:tcW w:w="2122" w:type="dxa"/>
            <w:noWrap/>
            <w:hideMark/>
          </w:tcPr>
          <w:p w14:paraId="175565EB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    </w:t>
            </w:r>
            <w:r w:rsidRPr="00112252">
              <w:rPr>
                <w:rFonts w:hint="eastAsia"/>
                <w:sz w:val="15"/>
                <w:szCs w:val="15"/>
              </w:rPr>
              <w:t>证券投资</w:t>
            </w:r>
          </w:p>
        </w:tc>
        <w:tc>
          <w:tcPr>
            <w:tcW w:w="1701" w:type="dxa"/>
            <w:noWrap/>
            <w:hideMark/>
          </w:tcPr>
          <w:p w14:paraId="4233946E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    </w:t>
            </w:r>
            <w:r w:rsidRPr="00112252">
              <w:rPr>
                <w:rFonts w:hint="eastAsia"/>
                <w:sz w:val="15"/>
                <w:szCs w:val="15"/>
              </w:rPr>
              <w:t>证券投资</w:t>
            </w:r>
          </w:p>
        </w:tc>
        <w:tc>
          <w:tcPr>
            <w:tcW w:w="1842" w:type="dxa"/>
            <w:noWrap/>
            <w:hideMark/>
          </w:tcPr>
          <w:p w14:paraId="4FD2124E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  <w:r w:rsidRPr="00112252">
              <w:rPr>
                <w:rFonts w:hint="eastAsia"/>
                <w:sz w:val="15"/>
                <w:szCs w:val="15"/>
              </w:rPr>
              <w:t xml:space="preserve">       </w:t>
            </w:r>
            <w:r w:rsidRPr="00112252">
              <w:rPr>
                <w:rFonts w:hint="eastAsia"/>
                <w:sz w:val="15"/>
                <w:szCs w:val="15"/>
              </w:rPr>
              <w:t>证券投资</w:t>
            </w:r>
          </w:p>
        </w:tc>
        <w:tc>
          <w:tcPr>
            <w:tcW w:w="1933" w:type="dxa"/>
            <w:noWrap/>
            <w:hideMark/>
          </w:tcPr>
          <w:p w14:paraId="49152C14" w14:textId="77777777" w:rsidR="00112252" w:rsidRPr="00112252" w:rsidRDefault="00112252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8" w:type="dxa"/>
            <w:noWrap/>
            <w:hideMark/>
          </w:tcPr>
          <w:p w14:paraId="4C48CAC4" w14:textId="77777777" w:rsidR="00112252" w:rsidRPr="00112252" w:rsidRDefault="00112252">
            <w:pPr>
              <w:rPr>
                <w:sz w:val="15"/>
                <w:szCs w:val="15"/>
              </w:rPr>
            </w:pPr>
          </w:p>
        </w:tc>
      </w:tr>
    </w:tbl>
    <w:p w14:paraId="6356ED1D" w14:textId="77777777" w:rsidR="00112252" w:rsidRPr="00112252" w:rsidRDefault="00112252" w:rsidP="00112252">
      <w:pPr>
        <w:rPr>
          <w:rFonts w:hint="eastAsia"/>
          <w:highlight w:val="yellow"/>
        </w:rPr>
      </w:pPr>
    </w:p>
    <w:sectPr w:rsidR="00112252" w:rsidRPr="00112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Arial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58B7"/>
    <w:multiLevelType w:val="hybridMultilevel"/>
    <w:tmpl w:val="5E763328"/>
    <w:lvl w:ilvl="0" w:tplc="5DCA654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A335FF"/>
    <w:multiLevelType w:val="hybridMultilevel"/>
    <w:tmpl w:val="3A52E982"/>
    <w:lvl w:ilvl="0" w:tplc="37E01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514A7E"/>
    <w:multiLevelType w:val="hybridMultilevel"/>
    <w:tmpl w:val="FD6A8B1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F443E8"/>
    <w:multiLevelType w:val="hybridMultilevel"/>
    <w:tmpl w:val="1BFA9ADC"/>
    <w:lvl w:ilvl="0" w:tplc="5DCA654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5E431B"/>
    <w:multiLevelType w:val="hybridMultilevel"/>
    <w:tmpl w:val="441A1EA2"/>
    <w:lvl w:ilvl="0" w:tplc="780AA506">
      <w:start w:val="1"/>
      <w:numFmt w:val="japaneseCounting"/>
      <w:pStyle w:val="Style1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782442"/>
    <w:multiLevelType w:val="hybridMultilevel"/>
    <w:tmpl w:val="7A2C5116"/>
    <w:lvl w:ilvl="0" w:tplc="5DCA654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4986B5E"/>
    <w:multiLevelType w:val="hybridMultilevel"/>
    <w:tmpl w:val="A34C11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192913">
    <w:abstractNumId w:val="1"/>
  </w:num>
  <w:num w:numId="2" w16cid:durableId="843282410">
    <w:abstractNumId w:val="3"/>
  </w:num>
  <w:num w:numId="3" w16cid:durableId="1956864105">
    <w:abstractNumId w:val="6"/>
  </w:num>
  <w:num w:numId="4" w16cid:durableId="2040429060">
    <w:abstractNumId w:val="5"/>
  </w:num>
  <w:num w:numId="5" w16cid:durableId="749274102">
    <w:abstractNumId w:val="2"/>
  </w:num>
  <w:num w:numId="6" w16cid:durableId="1324700776">
    <w:abstractNumId w:val="4"/>
  </w:num>
  <w:num w:numId="7" w16cid:durableId="196149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51"/>
    <w:rsid w:val="00076035"/>
    <w:rsid w:val="00112252"/>
    <w:rsid w:val="0017585B"/>
    <w:rsid w:val="001E3C23"/>
    <w:rsid w:val="001F6E8B"/>
    <w:rsid w:val="00236996"/>
    <w:rsid w:val="004C3BD0"/>
    <w:rsid w:val="00606C43"/>
    <w:rsid w:val="006E103D"/>
    <w:rsid w:val="00816053"/>
    <w:rsid w:val="0081728E"/>
    <w:rsid w:val="008639B2"/>
    <w:rsid w:val="008E02FA"/>
    <w:rsid w:val="00A5057B"/>
    <w:rsid w:val="00B919C5"/>
    <w:rsid w:val="00C53B51"/>
    <w:rsid w:val="00D2069C"/>
    <w:rsid w:val="00D3307C"/>
    <w:rsid w:val="00E2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18CB"/>
  <w15:chartTrackingRefBased/>
  <w15:docId w15:val="{72214EFE-4120-4FFF-B99A-86DF382F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69C"/>
    <w:pPr>
      <w:widowControl w:val="0"/>
      <w:jc w:val="both"/>
    </w:pPr>
    <w:rPr>
      <w:rFonts w:ascii="Times New Roman" w:eastAsia="楷体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9C5"/>
    <w:pPr>
      <w:keepNext/>
      <w:keepLines/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585B"/>
    <w:pPr>
      <w:ind w:firstLineChars="200" w:firstLine="420"/>
    </w:pPr>
  </w:style>
  <w:style w:type="table" w:styleId="TableGrid">
    <w:name w:val="Table Grid"/>
    <w:basedOn w:val="TableNormal"/>
    <w:uiPriority w:val="39"/>
    <w:rsid w:val="00A50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112252"/>
    <w:pPr>
      <w:numPr>
        <w:numId w:val="6"/>
      </w:numPr>
      <w:ind w:firstLineChars="0"/>
      <w:jc w:val="left"/>
    </w:pPr>
    <w:rPr>
      <w:b/>
      <w:bCs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2252"/>
    <w:rPr>
      <w:rFonts w:ascii="Times New Roman" w:eastAsia="楷体" w:hAnsi="Times New Roman"/>
    </w:rPr>
  </w:style>
  <w:style w:type="character" w:customStyle="1" w:styleId="Style1Char">
    <w:name w:val="Style1 Char"/>
    <w:basedOn w:val="ListParagraphChar"/>
    <w:link w:val="Style1"/>
    <w:rsid w:val="00112252"/>
    <w:rPr>
      <w:rFonts w:ascii="Times New Roman" w:eastAsia="楷体" w:hAnsi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19C5"/>
    <w:rPr>
      <w:rFonts w:ascii="Times New Roman" w:eastAsia="楷体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杰楠 胡</dc:creator>
  <cp:keywords/>
  <dc:description/>
  <cp:lastModifiedBy>杰楠 胡</cp:lastModifiedBy>
  <cp:revision>1</cp:revision>
  <dcterms:created xsi:type="dcterms:W3CDTF">2024-07-06T10:31:00Z</dcterms:created>
  <dcterms:modified xsi:type="dcterms:W3CDTF">2024-07-08T00:51:00Z</dcterms:modified>
</cp:coreProperties>
</file>