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INVENTIVE HARVEST</w:t>
      </w:r>
    </w:p>
    <w:p>
      <w:pPr>
        <w:jc w:val="center"/>
      </w:pPr>
      <w:r>
        <w:rPr>
          <w:b/>
          <w:color w:val="1F4D78"/>
          <w:sz w:val="26"/>
        </w:rPr>
        <w:t>CONTRACT OF EMPLOYMENT</w:t>
      </w:r>
    </w:p>
    <w:p>
      <w:pPr>
        <w:jc w:val="center"/>
      </w:pPr>
      <w:r>
        <w:rPr>
          <w:color w:val="50565E"/>
          <w:sz w:val="19"/>
        </w:rPr>
        <w:t>Confidential &amp; Legally Binding Agreement for Staff at Dub Dub, Kipasa, Trade Center &amp; Head Office</w:t>
      </w:r>
    </w:p>
    <w:p>
      <w:pPr>
        <w:jc w:val="center"/>
      </w:pPr>
      <w:r>
        <w:rPr>
          <w:i/>
          <w:color w:val="50565E"/>
          <w:sz w:val="17"/>
        </w:rPr>
        <w:t>Operating Locations: Dub Dub | Kipasa | Trade Center | Head Office  •  Date: 25 September 2026</w:t>
      </w:r>
    </w:p>
    <w:p>
      <w:pPr>
        <w:spacing w:after="120"/>
        <w:jc w:val="center"/>
      </w:pPr>
      <w:r>
        <w:rPr>
          <w:color w:val="C0C8D0"/>
        </w:rPr>
        <w:t>――――――――――――――――――――――――――――――――――――――――――――――――――――――――――――</w:t>
      </w:r>
    </w:p>
    <w:tbl>
      <w:tblPr>
        <w:tblW w:type="auto" w:w="0"/>
        <w:jc w:val="center"/>
        <w:tblLook w:firstColumn="1" w:firstRow="1" w:lastColumn="0" w:lastRow="0" w:noHBand="0" w:noVBand="1" w:val="04A0"/>
      </w:tblPr>
      <w:tblGrid>
        <w:gridCol w:w="9936"/>
      </w:tblGrid>
      <w:tr>
        <w:tc>
          <w:tcPr>
            <w:tcW w:type="dxa" w:w="9936"/>
            <w:shd w:fill="F4F6F9"/>
            <w:tcBorders>
              <w:top w:val="single" w:sz="8" w:space="0" w:color="2E74B5"/>
              <w:left w:val="single" w:sz="8" w:space="0" w:color="2E74B5"/>
              <w:bottom w:val="single" w:sz="8" w:space="0" w:color="2E74B5"/>
              <w:right w:val="single" w:sz="8" w:space="0" w:color="2E74B5"/>
            </w:tcBorders>
            <w:tcMar>
              <w:top w:w="100" w:type="dxa"/>
              <w:start w:w="140" w:type="dxa"/>
              <w:bottom w:w="100" w:type="dxa"/>
              <w:end w:w="140" w:type="dxa"/>
            </w:tcMar>
          </w:tcPr>
          <w:p>
            <w:pPr>
              <w:spacing w:after="0"/>
            </w:pPr>
            <w:r>
              <w:rPr>
                <w:color w:val="0B2545"/>
                <w:sz w:val="18"/>
              </w:rPr>
              <w:t>NOTICE TO EMPLOYEE AND SUPERVISOR: This is a formal, legally enforceable contract of employment. Before signing, all particulars including legal names, national identification numbers, remuneration, assigned duty station, and working hours must be completed accurately.</w:t>
            </w:r>
          </w:p>
        </w:tc>
      </w:tr>
    </w:tbl>
    <w:p/>
    <w:p>
      <w:pPr>
        <w:pStyle w:val="Heading1"/>
      </w:pPr>
      <w:r>
        <w:t>PARTICULARS OF EMPLOYMENT</w:t>
      </w:r>
    </w:p>
    <w:tbl>
      <w:tblPr>
        <w:tblW w:type="auto" w:w="0"/>
        <w:jc w:val="center"/>
        <w:tblLook w:firstColumn="1" w:firstRow="1" w:lastColumn="0" w:lastRow="0" w:noHBand="0" w:noVBand="1" w:val="04A0"/>
      </w:tblPr>
      <w:tblGrid>
        <w:gridCol w:w="4968"/>
        <w:gridCol w:w="4968"/>
      </w:tblGrid>
      <w:tr>
        <w:tc>
          <w:tcPr>
            <w:tcW w:type="dxa" w:w="4968"/>
            <w:shd w:fill="E8EEF5"/>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jc w:val="left"/>
            </w:pPr>
            <w:r>
              <w:rPr>
                <w:b/>
                <w:color w:val="0B2545"/>
                <w:sz w:val="18"/>
              </w:rPr>
              <w:t>Field / Particular</w:t>
            </w:r>
          </w:p>
        </w:tc>
        <w:tc>
          <w:tcPr>
            <w:tcW w:type="dxa" w:w="4968"/>
            <w:shd w:fill="E8EEF5"/>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jc w:val="left"/>
            </w:pPr>
            <w:r>
              <w:rPr>
                <w:b/>
                <w:color w:val="0B2545"/>
                <w:sz w:val="18"/>
              </w:rPr>
              <w:t>Agreed Specification</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Employer</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INVENTIVE HARVEST</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Operating Network</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Dub Dub Branch, Kipasa Branch, Trade Center Branch, Warehousing &amp; Head Office</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Employee Full Name</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[Insert Full Legal Name]</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National ID / NRC / Passport No.</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[Insert NRC / ID / Passport Number]</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Residential Address</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[Insert Physical Residential Address]</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Primary Contact Mobile</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[Insert Phone Number(s)]</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Job Title / Designation</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[Insert: Cashier / Shop Assistant / Branch Supervisor / Store Manager]</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Assigned Workstation / Branch</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[Insert: Dub Dub / Kipasa / Trade Center / Head Office]</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Reporting Line</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Branch Supervisor / Store Manager / Managing Director</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Commencement Date</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[Insert Start Date, e.g., 01 October 2026]</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Employment Status</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Full-Time (Subject to 3 Months Probation)</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Gross Monthly Basic Salary</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[Insert Currency &amp; Amount, e.g., USD / ZMW _____]</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Pay Frequency &amp; Date</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tcPr>
          <w:p>
            <w:pPr>
              <w:spacing w:after="40"/>
            </w:pPr>
            <w:r>
              <w:rPr>
                <w:sz w:val="17"/>
              </w:rPr>
              <w:t>Monthly in Arrears on or before the 28th of each month</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Standard Working Hours</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vAlign w:val="center"/>
            <w:shd w:fill="F4F6F9"/>
          </w:tcPr>
          <w:p>
            <w:pPr>
              <w:spacing w:after="40"/>
            </w:pPr>
            <w:r>
              <w:rPr>
                <w:sz w:val="17"/>
              </w:rPr>
              <w:t>44–48 Hours per week across a rotating shift roster (minimum 1 rest day/week)</w:t>
            </w:r>
          </w:p>
        </w:tc>
      </w:tr>
    </w:tbl>
    <w:p/>
    <w:p>
      <w:pPr>
        <w:pStyle w:val="Heading1"/>
      </w:pPr>
      <w:r>
        <w:t>1. Appointment &amp; General Duties</w:t>
      </w:r>
    </w:p>
    <w:p>
      <w:pPr>
        <w:pStyle w:val="ListBullet"/>
        <w:spacing w:after="60"/>
      </w:pPr>
      <w:r>
        <w:rPr>
          <w:sz w:val="19"/>
        </w:rPr>
        <w:t>The Employer hereby employs the Employee, and the Employee accepts employment on the terms set forth herein.</w:t>
      </w:r>
    </w:p>
    <w:p>
      <w:pPr>
        <w:pStyle w:val="ListBullet"/>
        <w:spacing w:after="60"/>
      </w:pPr>
      <w:r>
        <w:rPr>
          <w:sz w:val="19"/>
        </w:rPr>
        <w:t>The Employee shall perform all duties specified in the Job Description (Schedule A) with diligence, fidelity, and utmost honesty.</w:t>
      </w:r>
    </w:p>
    <w:p>
      <w:pPr>
        <w:pStyle w:val="ListBullet"/>
        <w:spacing w:after="60"/>
      </w:pPr>
      <w:r>
        <w:rPr>
          <w:sz w:val="19"/>
        </w:rPr>
        <w:t>Mobility &amp; Transfer: The Employee acknowledges that Inventive Harvest operates multiple branches. The Company reserves the right to rotate or transfer the Employee between Dub Dub, Kipasa, Trade Center, or other branches based on operational needs.</w:t>
      </w:r>
    </w:p>
    <w:p>
      <w:pPr>
        <w:pStyle w:val="Heading1"/>
      </w:pPr>
      <w:r>
        <w:t>2. Probationary Period &amp; Performance Assessment</w:t>
      </w:r>
    </w:p>
    <w:p>
      <w:pPr>
        <w:pStyle w:val="ListBullet"/>
        <w:spacing w:after="60"/>
      </w:pPr>
      <w:r>
        <w:rPr>
          <w:sz w:val="19"/>
        </w:rPr>
        <w:t>The initial period of three (3) months shall constitute probation to assess competence, punctuality, cash control, and customer service.</w:t>
      </w:r>
    </w:p>
    <w:p>
      <w:pPr>
        <w:pStyle w:val="ListBullet"/>
        <w:spacing w:after="60"/>
      </w:pPr>
      <w:r>
        <w:rPr>
          <w:sz w:val="19"/>
        </w:rPr>
        <w:t>The Employer may extend probation by up to three (3) additional months where corrective guidance is warranted.</w:t>
      </w:r>
    </w:p>
    <w:p>
      <w:pPr>
        <w:pStyle w:val="ListBullet"/>
        <w:spacing w:after="60"/>
      </w:pPr>
      <w:r>
        <w:rPr>
          <w:sz w:val="19"/>
        </w:rPr>
        <w:t>During probation, either Party may terminate employment upon giving one (1) week's written notice or basic salary in lieu thereof.</w:t>
      </w:r>
    </w:p>
    <w:p>
      <w:pPr>
        <w:pStyle w:val="Heading1"/>
      </w:pPr>
      <w:r>
        <w:t>3. Remuneration, Deductions &amp; Overtime</w:t>
      </w:r>
    </w:p>
    <w:p>
      <w:pPr>
        <w:pStyle w:val="ListBullet"/>
        <w:spacing w:after="60"/>
      </w:pPr>
      <w:r>
        <w:rPr>
          <w:sz w:val="19"/>
        </w:rPr>
        <w:t>Remuneration shall be paid into the Employee's designated bank account or registered mobile money wallet on or before the monthly pay date.</w:t>
      </w:r>
    </w:p>
    <w:p>
      <w:pPr>
        <w:pStyle w:val="ListBullet"/>
        <w:spacing w:after="60"/>
      </w:pPr>
      <w:r>
        <w:rPr>
          <w:sz w:val="19"/>
        </w:rPr>
        <w:t>Statutory deductions (PAYE, Social Security / Pension, NHIMA) shall be deducted in accordance with applicable laws.</w:t>
      </w:r>
    </w:p>
    <w:p>
      <w:pPr>
        <w:pStyle w:val="ListBullet"/>
        <w:spacing w:after="60"/>
      </w:pPr>
      <w:r>
        <w:rPr>
          <w:sz w:val="19"/>
        </w:rPr>
        <w:t>Authorized Recovery: The Employee consents to lawful payroll deductions for unverified cash drawer shortages, unreturned advances, or proven company asset losses occurring under the Employee's custody.</w:t>
      </w:r>
    </w:p>
    <w:p>
      <w:pPr>
        <w:pStyle w:val="ListBullet"/>
        <w:spacing w:after="60"/>
      </w:pPr>
      <w:r>
        <w:rPr>
          <w:sz w:val="19"/>
        </w:rPr>
        <w:t>Overtime requires prior written management authorization and shall be compensated in accordance with statutory standards.</w:t>
      </w:r>
    </w:p>
    <w:p>
      <w:pPr>
        <w:pStyle w:val="Heading1"/>
      </w:pPr>
      <w:r>
        <w:t>4. Strict Cash, Till &amp; POS Accountability</w:t>
      </w:r>
    </w:p>
    <w:p>
      <w:pPr>
        <w:pStyle w:val="ListBullet"/>
        <w:spacing w:after="60"/>
      </w:pPr>
      <w:r>
        <w:rPr>
          <w:sz w:val="19"/>
        </w:rPr>
        <w:t>MANDATORY POS RULE: Every customer transaction must be entered into the Point-of-Sale (POS) system (or official pre-numbered manual backup register during downtime) before merchandise leaves the shop.</w:t>
      </w:r>
    </w:p>
    <w:p>
      <w:pPr>
        <w:pStyle w:val="ListBullet"/>
        <w:spacing w:after="60"/>
      </w:pPr>
      <w:r>
        <w:rPr>
          <w:sz w:val="19"/>
        </w:rPr>
        <w:t>Every customer must be handed an official printed receipt.</w:t>
      </w:r>
    </w:p>
    <w:p>
      <w:pPr>
        <w:pStyle w:val="ListBullet"/>
        <w:spacing w:after="60"/>
      </w:pPr>
      <w:r>
        <w:rPr>
          <w:sz w:val="19"/>
        </w:rPr>
        <w:t>Daily Opening &amp; Closing: Cashiers must perform joint opening and closing float counts with supervisors, signing the daily cash control register.</w:t>
      </w:r>
    </w:p>
    <w:p>
      <w:pPr>
        <w:pStyle w:val="ListBullet"/>
        <w:spacing w:after="60"/>
      </w:pPr>
      <w:r>
        <w:rPr>
          <w:sz w:val="19"/>
        </w:rPr>
        <w:t>Strict Bucket Separation: Shop till money, Operations funds, Rent reserve, and Savings / Black Box funds must never be commingled or diverted.</w:t>
      </w:r>
    </w:p>
    <w:p>
      <w:pPr>
        <w:pStyle w:val="ListBullet"/>
        <w:spacing w:after="60"/>
      </w:pPr>
      <w:r>
        <w:rPr>
          <w:sz w:val="19"/>
        </w:rPr>
        <w:t>NO PERSONAL BORROWING: Employees are strictly forbidden from taking money from the cash drawer, placing personal IOUs, or keeping personal cash inside the till.</w:t>
      </w:r>
    </w:p>
    <w:p>
      <w:pPr>
        <w:pStyle w:val="Heading1"/>
      </w:pPr>
      <w:r>
        <w:t>5. Stock Control, Inward Receiving &amp; Branch Transfers</w:t>
      </w:r>
    </w:p>
    <w:p>
      <w:pPr>
        <w:pStyle w:val="ListBullet"/>
        <w:spacing w:after="60"/>
      </w:pPr>
      <w:r>
        <w:rPr>
          <w:sz w:val="19"/>
        </w:rPr>
        <w:t>Merchandise received from suppliers or central stores must be counted, checked for quality, and inwarded into the POS before public display.</w:t>
      </w:r>
    </w:p>
    <w:p>
      <w:pPr>
        <w:pStyle w:val="ListBullet"/>
        <w:spacing w:after="60"/>
      </w:pPr>
      <w:r>
        <w:rPr>
          <w:sz w:val="19"/>
        </w:rPr>
        <w:t>No merchandise may move between Dub Dub, Kipasa, and Trade Center without an authorized Stock Transfer Voucher (STV) signed by both dispatching and receiving staff.</w:t>
      </w:r>
    </w:p>
    <w:p>
      <w:pPr>
        <w:pStyle w:val="ListBullet"/>
        <w:spacing w:after="60"/>
      </w:pPr>
      <w:r>
        <w:rPr>
          <w:sz w:val="19"/>
        </w:rPr>
        <w:t>The Employee must participate fully in weekly cycle counts and monthly physical inventory audits.</w:t>
      </w:r>
    </w:p>
    <w:p>
      <w:pPr>
        <w:pStyle w:val="ListBullet"/>
        <w:spacing w:after="60"/>
      </w:pPr>
      <w:r>
        <w:rPr>
          <w:sz w:val="19"/>
        </w:rPr>
        <w:t>Physical Searches: The Employee consents to reasonable physical searches of bags, lockers, and parcels upon entering or exiting company premises.</w:t>
      </w:r>
    </w:p>
    <w:p>
      <w:pPr>
        <w:pStyle w:val="Heading1"/>
      </w:pPr>
      <w:r>
        <w:t>6. Leave &amp; Absence Management</w:t>
      </w:r>
    </w:p>
    <w:p>
      <w:pPr>
        <w:pStyle w:val="ListBullet"/>
        <w:spacing w:after="60"/>
      </w:pPr>
      <w:r>
        <w:rPr>
          <w:sz w:val="19"/>
        </w:rPr>
        <w:t>Paid annual leave accrues at 2 working days per month of service (24 days per annum) and must be requested 14 days in advance.</w:t>
      </w:r>
    </w:p>
    <w:p>
      <w:pPr>
        <w:pStyle w:val="ListBullet"/>
        <w:spacing w:after="60"/>
      </w:pPr>
      <w:r>
        <w:rPr>
          <w:sz w:val="19"/>
        </w:rPr>
        <w:t>Sick leave requires notice at least 2 hours before shift start, and a certified medical practitioner certificate for absences over 1 day.</w:t>
      </w:r>
    </w:p>
    <w:p>
      <w:pPr>
        <w:pStyle w:val="ListBullet"/>
        <w:spacing w:after="60"/>
      </w:pPr>
      <w:r>
        <w:rPr>
          <w:sz w:val="19"/>
        </w:rPr>
        <w:t>Unapproved absence for three (3) consecutive days without notice constitutes job abandonment and triggers formal contract termination.</w:t>
      </w:r>
    </w:p>
    <w:p>
      <w:pPr>
        <w:pStyle w:val="Heading1"/>
      </w:pPr>
      <w:r>
        <w:t>7. Confidentiality, Non-Compete &amp; Trade Secrets</w:t>
      </w:r>
    </w:p>
    <w:p>
      <w:pPr>
        <w:pStyle w:val="ListBullet"/>
        <w:spacing w:after="60"/>
      </w:pPr>
      <w:r>
        <w:rPr>
          <w:sz w:val="19"/>
        </w:rPr>
        <w:t>The Employee shall perpetually protect all trade secrets, supplier lists, profit margins, turnover data, and POS credentials.</w:t>
      </w:r>
    </w:p>
    <w:p>
      <w:pPr>
        <w:pStyle w:val="ListBullet"/>
        <w:spacing w:after="60"/>
      </w:pPr>
      <w:r>
        <w:rPr>
          <w:sz w:val="19"/>
        </w:rPr>
        <w:t>The Employee shall not operate or participate in any competing retail business, sell personal items on company premises, or solicit company clients.</w:t>
      </w:r>
    </w:p>
    <w:p>
      <w:pPr>
        <w:pStyle w:val="ListBullet"/>
        <w:spacing w:after="60"/>
      </w:pPr>
      <w:r>
        <w:rPr>
          <w:sz w:val="19"/>
        </w:rPr>
        <w:t>All secret commissions, supplier gifts, or kickbacks are strictly forbidden.</w:t>
      </w:r>
    </w:p>
    <w:p>
      <w:pPr>
        <w:pStyle w:val="Heading1"/>
      </w:pPr>
      <w:r>
        <w:t>8. Disciplinary Code &amp; Termination of Employment</w:t>
      </w:r>
    </w:p>
    <w:p>
      <w:pPr>
        <w:pStyle w:val="ListBullet"/>
        <w:spacing w:after="60"/>
      </w:pPr>
      <w:r>
        <w:rPr>
          <w:sz w:val="19"/>
        </w:rPr>
        <w:t>Disciplinary procedures shall adhere to progressive discipline: Verbal Warning, Written Warning, Final Written Warning, and Summary Dismissal.</w:t>
      </w:r>
    </w:p>
    <w:p>
      <w:pPr>
        <w:pStyle w:val="ListBullet"/>
        <w:spacing w:after="60"/>
      </w:pPr>
      <w:r>
        <w:rPr>
          <w:sz w:val="19"/>
        </w:rPr>
        <w:t>Gross Misconduct (leading to immediate dismissal following fair hearing) includes: theft, till manipulation, unrecorded sales, fraudulent records, unauthorized cash borrowing, drunkenness, physical violence, gross insubordination, and breach of confidentiality.</w:t>
      </w:r>
    </w:p>
    <w:p>
      <w:pPr>
        <w:pStyle w:val="ListBullet"/>
        <w:spacing w:after="60"/>
      </w:pPr>
      <w:r>
        <w:rPr>
          <w:sz w:val="19"/>
        </w:rPr>
        <w:t>Termination Notice: Following probation, either Party may terminate this Agreement by giving one (1) month's written notice or basic salary in lieu thereof.</w:t>
      </w:r>
    </w:p>
    <w:p>
      <w:pPr>
        <w:pStyle w:val="ListBullet"/>
        <w:spacing w:after="60"/>
      </w:pPr>
      <w:r>
        <w:rPr>
          <w:sz w:val="19"/>
        </w:rPr>
        <w:t>Exit Clearance: All keys, passwords, company uniforms, tablets, and property must be surrendered before final terminal dues are released.</w:t>
      </w:r>
    </w:p>
    <w:p>
      <w:pPr>
        <w:pStyle w:val="Heading1"/>
      </w:pPr>
      <w:r>
        <w:t>EXECUTION AND SIGNATURES</w:t>
      </w:r>
    </w:p>
    <w:tbl>
      <w:tblPr>
        <w:tblW w:type="auto" w:w="0"/>
        <w:jc w:val="center"/>
        <w:tblLook w:firstColumn="1" w:firstRow="1" w:lastColumn="0" w:lastRow="0" w:noHBand="0" w:noVBand="1" w:val="04A0"/>
      </w:tblPr>
      <w:tblGrid>
        <w:gridCol w:w="4968"/>
        <w:gridCol w:w="4968"/>
      </w:tblGrid>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shd w:fill="E8EEF5"/>
          </w:tcPr>
          <w:p>
            <w:r>
              <w:rPr>
                <w:b/>
              </w:rPr>
              <w:t>FOR AND ON BEHALF OF INVENTIVE HARVEST</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shd w:fill="E8EEF5"/>
          </w:tcPr>
          <w:p>
            <w:r>
              <w:rPr>
                <w:b/>
              </w:rPr>
              <w:t>EMPLOYEE SIGN-OFF</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Authorized Representative: _______________________</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Employee Full Name: _______________________</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Signature: ____________________________________</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Signature: ____________________________________</w:t>
            </w:r>
          </w:p>
        </w:tc>
      </w:tr>
      <w:tr>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Date: _____ / _____ / 20___   Place: ____________</w:t>
            </w:r>
          </w:p>
        </w:tc>
        <w:tc>
          <w:tcPr>
            <w:tcW w:type="dxa" w:w="4968"/>
            <w:tcBorders>
              <w:top w:val="single" w:sz="4" w:space="0" w:color="C0C8D0"/>
              <w:left w:val="single" w:sz="4" w:space="0" w:color="C0C8D0"/>
              <w:bottom w:val="single" w:sz="4" w:space="0" w:color="C0C8D0"/>
              <w:right w:val="single" w:sz="4" w:space="0" w:color="C0C8D0"/>
            </w:tcBorders>
            <w:tcMar>
              <w:top w:w="100" w:type="dxa"/>
              <w:start w:w="140" w:type="dxa"/>
              <w:bottom w:w="100" w:type="dxa"/>
              <w:end w:w="140" w:type="dxa"/>
            </w:tcMar>
          </w:tcPr>
          <w:p>
            <w:r>
              <w:t>Date: _____ / _____ / 20___   Place: ____________</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