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36"/>
        </w:rPr>
        <w:t>INVENTIVE HARVEST</w:t>
      </w:r>
    </w:p>
    <w:p>
      <w:pPr>
        <w:jc w:val="center"/>
      </w:pPr>
      <w:r>
        <w:rPr>
          <w:b/>
          <w:color w:val="1F4D78"/>
          <w:sz w:val="26"/>
        </w:rPr>
        <w:t>WORKPLACE POLICIES &amp; OPERATING MANUAL</w:t>
      </w:r>
    </w:p>
    <w:p>
      <w:pPr>
        <w:jc w:val="center"/>
      </w:pPr>
      <w:r>
        <w:rPr>
          <w:color w:val="50565E"/>
          <w:sz w:val="19"/>
        </w:rPr>
        <w:t>Standard Operating Procedures &amp; Rules for Dub Dub, Kipasa, Trade Center &amp; Operational Hubs</w:t>
      </w:r>
    </w:p>
    <w:p>
      <w:pPr>
        <w:jc w:val="center"/>
      </w:pPr>
      <w:r>
        <w:rPr>
          <w:i/>
          <w:color w:val="50565E"/>
          <w:sz w:val="17"/>
        </w:rPr>
        <w:t>Operating Locations: Dub Dub | Kipasa | Trade Center | Head Office  •  Date: 25 September 2026</w:t>
      </w:r>
    </w:p>
    <w:p>
      <w:pPr>
        <w:spacing w:after="120"/>
        <w:jc w:val="center"/>
      </w:pPr>
      <w:r>
        <w:rPr>
          <w:color w:val="C0C8D0"/>
        </w:rPr>
        <w:t>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color w:val="0B2545"/>
                <w:sz w:val="18"/>
              </w:rPr>
              <w:t>CORE MANDATE: Every employee of Inventive Harvest must read, understand, and strictly follow this manual. It governs all store operations, POS compliance, cash drawer integrity, inventory logistics, and professional standards.</w:t>
            </w:r>
          </w:p>
        </w:tc>
      </w:tr>
    </w:tbl>
    <w:p/>
    <w:p>
      <w:pPr>
        <w:pStyle w:val="Heading1"/>
      </w:pPr>
      <w:r>
        <w:t>1. Code of Conduct &amp; Business Ethics</w:t>
      </w:r>
    </w:p>
    <w:p>
      <w:pPr>
        <w:pStyle w:val="ListBullet"/>
        <w:spacing w:after="60"/>
      </w:pPr>
      <w:r>
        <w:rPr>
          <w:sz w:val="19"/>
        </w:rPr>
        <w:t>Customer Excellence: Customers must be greeted with warmth and respect. Rude, dismissive, or argumentative conduct is strictly prohibited.</w:t>
      </w:r>
    </w:p>
    <w:p>
      <w:pPr>
        <w:pStyle w:val="ListBullet"/>
        <w:spacing w:after="60"/>
      </w:pPr>
      <w:r>
        <w:rPr>
          <w:sz w:val="19"/>
        </w:rPr>
        <w:t>Honesty &amp; Reporting: Employees have a duty to immediately report observed theft, cash discrepancies, unrecorded sales, or misconduct.</w:t>
      </w:r>
    </w:p>
    <w:p>
      <w:pPr>
        <w:pStyle w:val="ListBullet"/>
        <w:spacing w:after="60"/>
      </w:pPr>
      <w:r>
        <w:rPr>
          <w:sz w:val="19"/>
        </w:rPr>
        <w:t>Anti-Bribery &amp; Kickbacks: Staff must never accept secret rebates, personal discounts, or favors from suppliers or landlords.</w:t>
      </w:r>
    </w:p>
    <w:p>
      <w:pPr>
        <w:pStyle w:val="ListBullet"/>
        <w:spacing w:after="60"/>
      </w:pPr>
      <w:r>
        <w:rPr>
          <w:sz w:val="19"/>
        </w:rPr>
        <w:t>No Moonlighting / Private Sales: Staff are strictly forbidden from selling personal merchandise inside company shops or diverting customers.</w:t>
      </w:r>
    </w:p>
    <w:p>
      <w:pPr>
        <w:pStyle w:val="ListBullet"/>
        <w:spacing w:after="60"/>
      </w:pPr>
      <w:r>
        <w:rPr>
          <w:sz w:val="19"/>
        </w:rPr>
        <w:t>Harassment &amp; Bullying: Zero tolerance for sexual harassment, verbal abuse, intimidation, or tribal/gender discrimination.</w:t>
      </w:r>
    </w:p>
    <w:p>
      <w:pPr>
        <w:pStyle w:val="Heading1"/>
      </w:pPr>
      <w:r>
        <w:t>2. Shop Operations &amp; Point-of-Sale (POS) Standards</w:t>
      </w:r>
    </w:p>
    <w:p>
      <w:pPr>
        <w:pStyle w:val="ListBullet"/>
        <w:spacing w:after="60"/>
      </w:pPr>
      <w:r>
        <w:rPr>
          <w:sz w:val="19"/>
        </w:rPr>
        <w:t>Shift Opening: Arrive 15 minutes before opening. Verify locks, inspect premises, conduct joint float counts, and test POS hardware.</w:t>
      </w:r>
    </w:p>
    <w:p>
      <w:pPr>
        <w:pStyle w:val="ListBullet"/>
        <w:spacing w:after="60"/>
      </w:pPr>
      <w:r>
        <w:rPr>
          <w:sz w:val="19"/>
        </w:rPr>
        <w:t>The Golden Rule: NO UNRECORDED SALES. Every item leaving the shop must be entered into the POS system before being given to the customer.</w:t>
      </w:r>
    </w:p>
    <w:p>
      <w:pPr>
        <w:pStyle w:val="ListBullet"/>
        <w:spacing w:after="60"/>
      </w:pPr>
      <w:r>
        <w:rPr>
          <w:sz w:val="19"/>
        </w:rPr>
        <w:t>Mandatory Official Receipts: Every customer must receive a printed POS receipt. Discarding printed receipts is a disciplinary offense.</w:t>
      </w:r>
    </w:p>
    <w:p>
      <w:pPr>
        <w:pStyle w:val="ListBullet"/>
        <w:spacing w:after="60"/>
      </w:pPr>
      <w:r>
        <w:rPr>
          <w:sz w:val="19"/>
        </w:rPr>
        <w:t>Mobile Money &amp; Card Settlements: Verify the exact transaction reference code on the company receiving terminal before releasing goods.</w:t>
      </w:r>
    </w:p>
    <w:p>
      <w:pPr>
        <w:pStyle w:val="ListBullet"/>
        <w:spacing w:after="60"/>
      </w:pPr>
      <w:r>
        <w:rPr>
          <w:sz w:val="19"/>
        </w:rPr>
        <w:t>Downtime / Manual Backup: In the event of system or power outage, record all transactions line-by-line in the pre-numbered Manual Sales Register. Inward transactions immediately once system is restored.</w:t>
      </w:r>
    </w:p>
    <w:p>
      <w:pPr>
        <w:pStyle w:val="ListBullet"/>
        <w:spacing w:after="60"/>
      </w:pPr>
      <w:r>
        <w:rPr>
          <w:sz w:val="19"/>
        </w:rPr>
        <w:t>Shift Closing: Run the end-of-day Z-report, reconcile physical cash against expected cash, document any variance, and lock up securely.</w:t>
      </w:r>
    </w:p>
    <w:p>
      <w:pPr>
        <w:pStyle w:val="Heading1"/>
      </w:pPr>
      <w:r>
        <w:t>3. Cash Management &amp; Outflow Controls</w:t>
      </w:r>
    </w:p>
    <w:p>
      <w:pPr>
        <w:pStyle w:val="ListBullet"/>
        <w:spacing w:after="60"/>
      </w:pPr>
      <w:r>
        <w:rPr>
          <w:sz w:val="19"/>
        </w:rPr>
        <w:t>Segregation of Buckets: Distinct accounts exist for Shop Till, Operations Fund, Rent Reserve, Savings / Black Box, and Petty Cash. Mixing these funds is strictly prohibited.</w:t>
      </w:r>
    </w:p>
    <w:p>
      <w:pPr>
        <w:pStyle w:val="ListBullet"/>
        <w:spacing w:after="60"/>
      </w:pPr>
      <w:r>
        <w:rPr>
          <w:sz w:val="19"/>
        </w:rPr>
        <w:t>No Direct Till Payouts: Expenses must never be paid directly from sales takings. Payouts must come from approved Petty Cash or Operations funds.</w:t>
      </w:r>
    </w:p>
    <w:p>
      <w:pPr>
        <w:pStyle w:val="ListBullet"/>
        <w:spacing w:after="60"/>
      </w:pPr>
      <w:r>
        <w:rPr>
          <w:sz w:val="19"/>
        </w:rPr>
        <w:t>Payment Vouchers: All cash outflows must have a numbered payment voucher stating date, expense category, payee, approving supervisor, and attached original receipt.</w:t>
      </w:r>
    </w:p>
    <w:p>
      <w:pPr>
        <w:pStyle w:val="ListBullet"/>
        <w:spacing w:after="60"/>
      </w:pPr>
      <w:r>
        <w:rPr>
          <w:sz w:val="19"/>
        </w:rPr>
        <w:t>Approval Thresholds: Supervisor approval up to $20; Managing Director approval required for expenses over $20; expenses over $100 require pre-documentation.</w:t>
      </w:r>
    </w:p>
    <w:p>
      <w:pPr>
        <w:pStyle w:val="ListBullet"/>
        <w:spacing w:after="60"/>
      </w:pPr>
      <w:r>
        <w:rPr>
          <w:sz w:val="19"/>
        </w:rPr>
        <w:t>Absolute Ban on IOUs: Borrowing from the till or placing personal chits/notes is treated as criminal misappropriation resulting in dismissal.</w:t>
      </w:r>
    </w:p>
    <w:p>
      <w:pPr>
        <w:pStyle w:val="ListBullet"/>
        <w:spacing w:after="60"/>
      </w:pPr>
      <w:r>
        <w:rPr>
          <w:sz w:val="19"/>
        </w:rPr>
        <w:t>Cash Overages: Surplus cash belongs to the Company and must be credited in the daily closing report. Pocketing surplus is theft.</w:t>
      </w:r>
    </w:p>
    <w:p>
      <w:pPr>
        <w:pStyle w:val="Heading1"/>
      </w:pPr>
      <w:r>
        <w:t>4. Inventory Control &amp; Inter-Branch Transfers</w:t>
      </w:r>
    </w:p>
    <w:p>
      <w:pPr>
        <w:pStyle w:val="ListBullet"/>
        <w:spacing w:after="60"/>
      </w:pPr>
      <w:r>
        <w:rPr>
          <w:sz w:val="19"/>
        </w:rPr>
        <w:t>Stock Receiving: Verify incoming stock against delivery invoices for count and condition. Inward goods into the POS system immediately.</w:t>
      </w:r>
    </w:p>
    <w:p>
      <w:pPr>
        <w:pStyle w:val="ListBullet"/>
        <w:spacing w:after="60"/>
      </w:pPr>
      <w:r>
        <w:rPr>
          <w:sz w:val="19"/>
        </w:rPr>
        <w:t>Inter-Branch Transfers: Moving goods between Dub Dub, Kipasa, and Trade Center requires a pre-numbered Stock Transfer Voucher (STV) signed by both dispatching and receiving staff.</w:t>
      </w:r>
    </w:p>
    <w:p>
      <w:pPr>
        <w:pStyle w:val="ListBullet"/>
        <w:spacing w:after="60"/>
      </w:pPr>
      <w:r>
        <w:rPr>
          <w:sz w:val="19"/>
        </w:rPr>
        <w:t>Stock Audits: Staff must assist with weekly cycle counts, monthly full stocktakes, and unannounced spot checks.</w:t>
      </w:r>
    </w:p>
    <w:p>
      <w:pPr>
        <w:pStyle w:val="ListBullet"/>
        <w:spacing w:after="60"/>
      </w:pPr>
      <w:r>
        <w:rPr>
          <w:sz w:val="19"/>
        </w:rPr>
        <w:t>Damaged Goods: Broken or expired merchandise must be quarantined and recorded in the Damaged Goods Register. Staff may not consume or unilaterally discard damaged items.</w:t>
      </w:r>
    </w:p>
    <w:p>
      <w:pPr>
        <w:pStyle w:val="Heading1"/>
      </w:pPr>
      <w:r>
        <w:t>5. Working Hours, Timekeeping &amp; Attendance</w:t>
      </w:r>
    </w:p>
    <w:p>
      <w:pPr>
        <w:pStyle w:val="ListBullet"/>
        <w:spacing w:after="60"/>
      </w:pPr>
      <w:r>
        <w:rPr>
          <w:sz w:val="19"/>
        </w:rPr>
        <w:t>Published Rosters: Roster schedules will be posted 3 days in advance. Informal shift swapping without supervisor approval is prohibited.</w:t>
      </w:r>
    </w:p>
    <w:p>
      <w:pPr>
        <w:pStyle w:val="ListBullet"/>
        <w:spacing w:after="60"/>
      </w:pPr>
      <w:r>
        <w:rPr>
          <w:sz w:val="19"/>
        </w:rPr>
        <w:t>Punctuality: Staff must be in uniform on the sales floor ready to trade at start time. Three unexcused late arrivals per month attract disciplinary sanction.</w:t>
      </w:r>
    </w:p>
    <w:p>
      <w:pPr>
        <w:pStyle w:val="ListBullet"/>
        <w:spacing w:after="60"/>
      </w:pPr>
      <w:r>
        <w:rPr>
          <w:sz w:val="19"/>
        </w:rPr>
        <w:t>Meal Intervals: Meals must be staggered so counters are never unattended. No eating or open drinks behind the till counter.</w:t>
      </w:r>
    </w:p>
    <w:p>
      <w:pPr>
        <w:pStyle w:val="ListBullet"/>
        <w:spacing w:after="60"/>
      </w:pPr>
      <w:r>
        <w:rPr>
          <w:sz w:val="19"/>
        </w:rPr>
        <w:t>Absence Reporting: Notify supervisors of illness at least 2 hours prior to shift. Provide a medical certificate for absences over 1 day.</w:t>
      </w:r>
    </w:p>
    <w:p>
      <w:pPr>
        <w:pStyle w:val="Heading1"/>
      </w:pPr>
      <w:r>
        <w:t>6. Security, Asset Protection &amp; Physical Inspections</w:t>
      </w:r>
    </w:p>
    <w:p>
      <w:pPr>
        <w:pStyle w:val="ListBullet"/>
        <w:spacing w:after="60"/>
      </w:pPr>
      <w:r>
        <w:rPr>
          <w:sz w:val="19"/>
        </w:rPr>
        <w:t>Key Security: Store keys must remain with designated keyholders and must never be duplicated or left on unattended counters.</w:t>
      </w:r>
    </w:p>
    <w:p>
      <w:pPr>
        <w:pStyle w:val="ListBullet"/>
        <w:spacing w:after="60"/>
      </w:pPr>
      <w:r>
        <w:rPr>
          <w:sz w:val="19"/>
        </w:rPr>
        <w:t>CCTV Surveillance: Premises and till areas are under video surveillance. Obstructing or tampering with cameras is gross misconduct.</w:t>
      </w:r>
    </w:p>
    <w:p>
      <w:pPr>
        <w:pStyle w:val="ListBullet"/>
        <w:spacing w:after="60"/>
      </w:pPr>
      <w:r>
        <w:rPr>
          <w:sz w:val="19"/>
        </w:rPr>
        <w:t>Right of Search: Company reserves the right to conduct reasonable physical searches of bags, lockers, and outer garments upon exit/entry.</w:t>
      </w:r>
    </w:p>
    <w:p>
      <w:pPr>
        <w:pStyle w:val="ListBullet"/>
        <w:spacing w:after="60"/>
      </w:pPr>
      <w:r>
        <w:rPr>
          <w:sz w:val="19"/>
        </w:rPr>
        <w:t>Counterfeit Checks: All high-denomination banknotes must be tested with UV detection and security thread checks before acceptance.</w:t>
      </w:r>
    </w:p>
    <w:p>
      <w:pPr>
        <w:pStyle w:val="Heading1"/>
      </w:pPr>
      <w:r>
        <w:t>7. Disciplinary Offenses Matrix</w:t>
      </w:r>
    </w:p>
    <w:p>
      <w:pPr>
        <w:pStyle w:val="ListBullet"/>
        <w:spacing w:after="60"/>
      </w:pPr>
      <w:r>
        <w:rPr>
          <w:sz w:val="19"/>
        </w:rPr>
        <w:t>Minor Offenses (Late arrival, uniform non-compliance, eating at counter): Verbal Warning -&gt; Written Warning -&gt; Final Written Warning.</w:t>
      </w:r>
    </w:p>
    <w:p>
      <w:pPr>
        <w:pStyle w:val="ListBullet"/>
        <w:spacing w:after="60"/>
      </w:pPr>
      <w:r>
        <w:rPr>
          <w:sz w:val="19"/>
        </w:rPr>
        <w:t>Serious Offenses (Till shortage, failing to issue receipt, insubordination): Written Warning -&gt; Final Written Warning -&gt; Disciplinary Hearing.</w:t>
      </w:r>
    </w:p>
    <w:p>
      <w:pPr>
        <w:pStyle w:val="ListBullet"/>
        <w:spacing w:after="60"/>
      </w:pPr>
      <w:r>
        <w:rPr>
          <w:sz w:val="19"/>
        </w:rPr>
        <w:t>Gross Misconduct (Theft, unrecorded sales, till manipulation, IOUs, intoxication, violence, desertion): Summary Dismissal upon fair hearing.</w:t>
      </w:r>
    </w:p>
    <w:p>
      <w:pPr>
        <w:pStyle w:val="Heading1"/>
      </w:pPr>
      <w:r>
        <w:t>EMPLOYEE COMPLIANCE UNDERTAKING &amp; 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color w:val="0B2545"/>
                <w:sz w:val="18"/>
              </w:rPr>
              <w:t>I hereby certify that I have received, read, and understood the Inventive Harvest Workplace Policies &amp; Operating Manual. I undertake to adhere strictly to all cash handling, POS standards, inventory security, and behavioral rules outlined herein.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Borders>
              <w:top w:val="single" w:sz="4" w:space="0" w:color="C0C8D0"/>
              <w:left w:val="single" w:sz="4" w:space="0" w:color="C0C8D0"/>
              <w:bottom w:val="single" w:sz="4" w:space="0" w:color="C0C8D0"/>
              <w:right w:val="single" w:sz="4" w:space="0" w:color="C0C8D0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t>Employee Full Name: _______________________</w:t>
            </w:r>
          </w:p>
        </w:tc>
        <w:tc>
          <w:tcPr>
            <w:tcW w:type="dxa" w:w="4968"/>
            <w:tcBorders>
              <w:top w:val="single" w:sz="4" w:space="0" w:color="C0C8D0"/>
              <w:left w:val="single" w:sz="4" w:space="0" w:color="C0C8D0"/>
              <w:bottom w:val="single" w:sz="4" w:space="0" w:color="C0C8D0"/>
              <w:right w:val="single" w:sz="4" w:space="0" w:color="C0C8D0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r>
              <w:t>National ID / NRC No.: _______________________</w:t>
            </w:r>
          </w:p>
        </w:tc>
      </w:tr>
      <w:tr>
        <w:tc>
          <w:tcPr>
            <w:tcW w:type="dxa" w:w="4968"/>
            <w:tcBorders>
              <w:top w:val="single" w:sz="4" w:space="0" w:color="C0C8D0"/>
              <w:left w:val="single" w:sz="4" w:space="0" w:color="C0C8D0"/>
              <w:bottom w:val="single" w:sz="4" w:space="0" w:color="C0C8D0"/>
              <w:right w:val="single" w:sz="4" w:space="0" w:color="C0C8D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Assigned Branch: [ ] Dub Dub  [ ] Kipasa  [ ] Trade Center</w:t>
            </w:r>
          </w:p>
        </w:tc>
        <w:tc>
          <w:tcPr>
            <w:tcW w:type="dxa" w:w="4968"/>
            <w:tcBorders>
              <w:top w:val="single" w:sz="4" w:space="0" w:color="C0C8D0"/>
              <w:left w:val="single" w:sz="4" w:space="0" w:color="C0C8D0"/>
              <w:bottom w:val="single" w:sz="4" w:space="0" w:color="C0C8D0"/>
              <w:right w:val="single" w:sz="4" w:space="0" w:color="C0C8D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Job Designation: _______________________</w:t>
            </w:r>
          </w:p>
        </w:tc>
      </w:tr>
      <w:tr>
        <w:tc>
          <w:tcPr>
            <w:tcW w:type="dxa" w:w="4968"/>
            <w:tcBorders>
              <w:top w:val="single" w:sz="4" w:space="0" w:color="C0C8D0"/>
              <w:left w:val="single" w:sz="4" w:space="0" w:color="C0C8D0"/>
              <w:bottom w:val="single" w:sz="4" w:space="0" w:color="C0C8D0"/>
              <w:right w:val="single" w:sz="4" w:space="0" w:color="C0C8D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Employee Signature: _______________________</w:t>
            </w:r>
          </w:p>
        </w:tc>
        <w:tc>
          <w:tcPr>
            <w:tcW w:type="dxa" w:w="4968"/>
            <w:tcBorders>
              <w:top w:val="single" w:sz="4" w:space="0" w:color="C0C8D0"/>
              <w:left w:val="single" w:sz="4" w:space="0" w:color="C0C8D0"/>
              <w:bottom w:val="single" w:sz="4" w:space="0" w:color="C0C8D0"/>
              <w:right w:val="single" w:sz="4" w:space="0" w:color="C0C8D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Date: _____ / _____ / 20___</w:t>
            </w:r>
          </w:p>
        </w:tc>
      </w:tr>
      <w:tr>
        <w:tc>
          <w:tcPr>
            <w:tcW w:type="dxa" w:w="4968"/>
            <w:tcBorders>
              <w:top w:val="single" w:sz="4" w:space="0" w:color="C0C8D0"/>
              <w:left w:val="single" w:sz="4" w:space="0" w:color="C0C8D0"/>
              <w:bottom w:val="single" w:sz="4" w:space="0" w:color="C0C8D0"/>
              <w:right w:val="single" w:sz="4" w:space="0" w:color="C0C8D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Supervisor / Witness: _______________________</w:t>
            </w:r>
          </w:p>
        </w:tc>
        <w:tc>
          <w:tcPr>
            <w:tcW w:type="dxa" w:w="4968"/>
            <w:tcBorders>
              <w:top w:val="single" w:sz="4" w:space="0" w:color="C0C8D0"/>
              <w:left w:val="single" w:sz="4" w:space="0" w:color="C0C8D0"/>
              <w:bottom w:val="single" w:sz="4" w:space="0" w:color="C0C8D0"/>
              <w:right w:val="single" w:sz="4" w:space="0" w:color="C0C8D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Supervisor Signature &amp; Date: _________________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