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36"/>
        </w:rPr>
        <w:t>Harvest Investive Work Policy</w:t>
      </w:r>
    </w:p>
    <w:p>
      <w:pPr>
        <w:jc w:val="center"/>
      </w:pPr>
      <w:r>
        <w:rPr>
          <w:color w:val="50565E"/>
          <w:sz w:val="20"/>
        </w:rPr>
        <w:t>Applies to Dub Dub, Kipasa, and Trade Center</w:t>
      </w:r>
    </w:p>
    <w:p>
      <w:pPr>
        <w:jc w:val="center"/>
      </w:pPr>
      <w:r>
        <w:rPr>
          <w:color w:val="646C76"/>
          <w:sz w:val="18"/>
        </w:rPr>
        <w:t>Prepared for Harvest Investive | Draft date: 02 August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792"/>
      </w:tblGrid>
      <w:tr>
        <w:tc>
          <w:tcPr>
            <w:tcW w:type="dxa" w:w="9792"/>
            <w:shd w:fill="F4F6F9"/>
          </w:tcPr>
          <w:p>
            <w:r>
              <w:rPr>
                <w:b/>
                <w:sz w:val="18"/>
              </w:rPr>
              <w:t>Legal review note: This is a practical draft for internal use. Before signing, Harvest Investive should confirm the correct NEC/CBA, minimum wage, leave, notice, and disciplinary-code requirements applicable to the business and location.</w:t>
            </w:r>
          </w:p>
        </w:tc>
      </w:tr>
    </w:tbl>
    <w:p>
      <w:pPr>
        <w:pStyle w:val="Heading1"/>
      </w:pPr>
      <w:r>
        <w:t>1. Purpose</w:t>
      </w:r>
    </w:p>
    <w:p>
      <w:r>
        <w:t>This policy creates one operating standard for Harvest Investive shops: Dub Dub, Kipasa, and Trade Center. It is intended to protect cash, stock, staff, customers, records, and owner capital.</w:t>
      </w:r>
    </w:p>
    <w:p>
      <w:pPr>
        <w:pStyle w:val="Heading1"/>
      </w:pPr>
      <w:r>
        <w:t>2. Core Rules</w:t>
      </w:r>
    </w:p>
    <w:p>
      <w:pPr>
        <w:pStyle w:val="ListBullet"/>
        <w:spacing w:after="60"/>
      </w:pPr>
      <w:r>
        <w:t>Every sale must be recorded before stock leaves the shop.</w:t>
      </w:r>
    </w:p>
    <w:p>
      <w:pPr>
        <w:pStyle w:val="ListBullet"/>
        <w:spacing w:after="60"/>
      </w:pPr>
      <w:r>
        <w:t>Every cash movement must have a reason, amount, person responsible, date, and proof.</w:t>
      </w:r>
    </w:p>
    <w:p>
      <w:pPr>
        <w:pStyle w:val="ListBullet"/>
        <w:spacing w:after="60"/>
      </w:pPr>
      <w:r>
        <w:t>No Operations, savings, black box, rent reserve, stock purchase, or banking entry may be made without a matching note or receipt.</w:t>
      </w:r>
    </w:p>
    <w:p>
      <w:pPr>
        <w:pStyle w:val="ListBullet"/>
        <w:spacing w:after="60"/>
      </w:pPr>
      <w:r>
        <w:t>No one may borrow company cash or stock without written owner approval.</w:t>
      </w:r>
    </w:p>
    <w:p>
      <w:pPr>
        <w:pStyle w:val="ListBullet"/>
        <w:spacing w:after="60"/>
      </w:pPr>
      <w:r>
        <w:t>Each shop must close daily with a signed cash count, stock issue note where relevant, and variance explanation.</w:t>
      </w:r>
    </w:p>
    <w:p>
      <w:pPr>
        <w:pStyle w:val="Heading1"/>
      </w:pPr>
      <w:r>
        <w:t>3. Shop Roles and Accountability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896"/>
        <w:gridCol w:w="4896"/>
      </w:tblGrid>
      <w:tr>
        <w:tc>
          <w:tcPr>
            <w:tcW w:type="dxa" w:w="2400"/>
            <w:vAlign w:val="center"/>
            <w:shd w:fill="F2F4F7"/>
          </w:tcPr>
          <w:p>
            <w:r>
              <w:rPr>
                <w:b/>
              </w:rPr>
              <w:t>Dub Dub</w:t>
            </w:r>
          </w:p>
        </w:tc>
        <w:tc>
          <w:tcPr>
            <w:tcW w:type="dxa" w:w="6960"/>
            <w:vAlign w:val="center"/>
          </w:tcPr>
          <w:p>
            <w:r>
              <w:t>Two assigned shop employees. Responsible for POS, customer service, cash drawer, stock display, and daily handover.</w:t>
            </w:r>
          </w:p>
        </w:tc>
      </w:tr>
      <w:tr>
        <w:tc>
          <w:tcPr>
            <w:tcW w:type="dxa" w:w="2400"/>
            <w:vAlign w:val="center"/>
            <w:shd w:fill="F2F4F7"/>
          </w:tcPr>
          <w:p>
            <w:r>
              <w:rPr>
                <w:b/>
              </w:rPr>
              <w:t>Trade Center</w:t>
            </w:r>
          </w:p>
        </w:tc>
        <w:tc>
          <w:tcPr>
            <w:tcW w:type="dxa" w:w="6960"/>
            <w:vAlign w:val="center"/>
          </w:tcPr>
          <w:p>
            <w:r>
              <w:t>Two assigned shop employees. Responsible for POS, customer service, cash drawer, stock display, and daily handover.</w:t>
            </w:r>
          </w:p>
        </w:tc>
      </w:tr>
      <w:tr>
        <w:tc>
          <w:tcPr>
            <w:tcW w:type="dxa" w:w="2400"/>
            <w:vAlign w:val="center"/>
            <w:shd w:fill="F2F4F7"/>
          </w:tcPr>
          <w:p>
            <w:r>
              <w:rPr>
                <w:b/>
              </w:rPr>
              <w:t>Kipasa</w:t>
            </w:r>
          </w:p>
        </w:tc>
        <w:tc>
          <w:tcPr>
            <w:tcW w:type="dxa" w:w="6960"/>
            <w:vAlign w:val="center"/>
          </w:tcPr>
          <w:p>
            <w:r>
              <w:t>Two assigned shop employees. Responsible for POS, customer service, cash drawer, stock display, and daily handover.</w:t>
            </w:r>
          </w:p>
        </w:tc>
      </w:tr>
      <w:tr>
        <w:tc>
          <w:tcPr>
            <w:tcW w:type="dxa" w:w="2400"/>
            <w:vAlign w:val="center"/>
            <w:shd w:fill="F2F4F7"/>
          </w:tcPr>
          <w:p>
            <w:r>
              <w:rPr>
                <w:b/>
              </w:rPr>
              <w:t>MD/CEO</w:t>
            </w:r>
          </w:p>
        </w:tc>
        <w:tc>
          <w:tcPr>
            <w:tcW w:type="dxa" w:w="6960"/>
            <w:vAlign w:val="center"/>
          </w:tcPr>
          <w:p>
            <w:r>
              <w:t>Responsible for financial discipline, owner reporting, approvals, staff oversight, procurement discipline, and policy enforcement.</w:t>
            </w:r>
          </w:p>
        </w:tc>
      </w:tr>
    </w:tbl>
    <w:p>
      <w:pPr>
        <w:pStyle w:val="Heading1"/>
      </w:pPr>
      <w:r>
        <w:t>4. Cash Handling Policy</w:t>
      </w:r>
    </w:p>
    <w:p>
      <w:pPr>
        <w:pStyle w:val="ListNumber"/>
        <w:spacing w:after="60"/>
      </w:pPr>
      <w:r>
        <w:t>Each shift starts with an opening cash count signed by the person taking responsibility for the drawer.</w:t>
      </w:r>
    </w:p>
    <w:p>
      <w:pPr>
        <w:pStyle w:val="ListNumber"/>
        <w:spacing w:after="60"/>
      </w:pPr>
      <w:r>
        <w:t>All cash sales, EcoCash/mobile money sales, lay-bys, refunds, expenses, savings, black box, rent reserve, and Operations transfers must be recorded the same day.</w:t>
      </w:r>
    </w:p>
    <w:p>
      <w:pPr>
        <w:pStyle w:val="ListNumber"/>
        <w:spacing w:after="60"/>
      </w:pPr>
      <w:r>
        <w:t>Cash may not be mixed with personal money.</w:t>
      </w:r>
    </w:p>
    <w:p>
      <w:pPr>
        <w:pStyle w:val="ListNumber"/>
        <w:spacing w:after="60"/>
      </w:pPr>
      <w:r>
        <w:t>Cash shortages must be reported immediately and recorded before the shop closes.</w:t>
      </w:r>
    </w:p>
    <w:p>
      <w:pPr>
        <w:pStyle w:val="ListNumber"/>
        <w:spacing w:after="60"/>
      </w:pPr>
      <w:r>
        <w:t>Cash overages are company money and must be recorded. Staff may not keep overages.</w:t>
      </w:r>
    </w:p>
    <w:p>
      <w:pPr>
        <w:pStyle w:val="ListNumber"/>
        <w:spacing w:after="60"/>
      </w:pPr>
      <w:r>
        <w:t>Banking must be supported by a deposit slip, bank confirmation, or owner acknowledgement.</w:t>
      </w:r>
    </w:p>
    <w:p>
      <w:pPr>
        <w:pStyle w:val="Heading1"/>
      </w:pPr>
      <w:r>
        <w:t>5. Operations, Savings, Black Box, and Rent Reserve</w:t>
      </w:r>
    </w:p>
    <w:p>
      <w:pPr>
        <w:pStyle w:val="ListBullet"/>
        <w:spacing w:after="60"/>
      </w:pPr>
      <w:r>
        <w:t>Savings and black box money must be treated as protected business money, not casual spend money.</w:t>
      </w:r>
    </w:p>
    <w:p>
      <w:pPr>
        <w:pStyle w:val="ListBullet"/>
        <w:spacing w:after="60"/>
      </w:pPr>
      <w:r>
        <w:t>Rent reserve must be ring-fenced monthly. If the company budgets USD 2,000 and pays USD 1,200 rent, the USD 800 difference must remain visible in a reserve record.</w:t>
      </w:r>
    </w:p>
    <w:p>
      <w:pPr>
        <w:pStyle w:val="ListBullet"/>
        <w:spacing w:after="60"/>
      </w:pPr>
      <w:r>
        <w:t>Operations payouts require a category: stock order, rent, tax, banking, salaries, utilities, transport, supplier/payable, maintenance, or owner-approved other.</w:t>
      </w:r>
    </w:p>
    <w:p>
      <w:pPr>
        <w:pStyle w:val="ListBullet"/>
        <w:spacing w:after="60"/>
      </w:pPr>
      <w:r>
        <w:t>Generic labels such as 'Round', 'Balance', 'Person name only', 'Adjustment', or 'Other' are not acceptable without supporting explanation.</w:t>
      </w:r>
    </w:p>
    <w:p>
      <w:pPr>
        <w:pStyle w:val="ListBullet"/>
        <w:spacing w:after="60"/>
      </w:pPr>
      <w:r>
        <w:t>Any Operations payout over USD 100 requires proof. Any payout over USD 500 requires owner approval and proof before or immediately after payment.</w:t>
      </w:r>
    </w:p>
    <w:p>
      <w:pPr>
        <w:pStyle w:val="Heading1"/>
      </w:pPr>
      <w:r>
        <w:t>6. Stock Purchasing and Inventory</w:t>
      </w:r>
    </w:p>
    <w:p>
      <w:pPr>
        <w:pStyle w:val="ListBullet"/>
        <w:spacing w:after="60"/>
      </w:pPr>
      <w:r>
        <w:t>Stock orders must have supplier, amount, date, receiving shop, expected items, and proof of payment.</w:t>
      </w:r>
    </w:p>
    <w:p>
      <w:pPr>
        <w:pStyle w:val="ListBullet"/>
        <w:spacing w:after="60"/>
      </w:pPr>
      <w:r>
        <w:t>Stock received must be checked against the order before it is sold.</w:t>
      </w:r>
    </w:p>
    <w:p>
      <w:pPr>
        <w:pStyle w:val="ListBullet"/>
        <w:spacing w:after="60"/>
      </w:pPr>
      <w:r>
        <w:t>Damaged, missing, returned, or transferred stock must be recorded.</w:t>
      </w:r>
    </w:p>
    <w:p>
      <w:pPr>
        <w:pStyle w:val="ListBullet"/>
        <w:spacing w:after="60"/>
      </w:pPr>
      <w:r>
        <w:t>Staff may not take stock on credit or for personal use unless authorised in writing.</w:t>
      </w:r>
    </w:p>
    <w:p>
      <w:pPr>
        <w:pStyle w:val="Heading1"/>
      </w:pPr>
      <w:r>
        <w:t>7. Expenses, Salaries, and Approvals</w:t>
      </w:r>
    </w:p>
    <w:p>
      <w:pPr>
        <w:pStyle w:val="ListBullet"/>
        <w:spacing w:after="60"/>
      </w:pPr>
      <w:r>
        <w:t>Routine shop expenses must be pre-approved where possible and recorded with receipts.</w:t>
      </w:r>
    </w:p>
    <w:p>
      <w:pPr>
        <w:pStyle w:val="ListBullet"/>
        <w:spacing w:after="60"/>
      </w:pPr>
      <w:r>
        <w:t>Salary and wage payments must be recorded separately from stock, rent, banking, and owner drawings.</w:t>
      </w:r>
    </w:p>
    <w:p>
      <w:pPr>
        <w:pStyle w:val="ListBullet"/>
        <w:spacing w:after="60"/>
      </w:pPr>
      <w:r>
        <w:t>Tax must be recorded separately from banking. The business must not hide ordinary cash movement inside a tax/banking label.</w:t>
      </w:r>
    </w:p>
    <w:p>
      <w:pPr>
        <w:pStyle w:val="ListBullet"/>
        <w:spacing w:after="60"/>
      </w:pPr>
      <w:r>
        <w:t>Owner drawings, loans, or advances must be labelled separately and cannot be treated as operating expenses.</w:t>
      </w:r>
    </w:p>
    <w:p>
      <w:pPr>
        <w:pStyle w:val="Heading1"/>
      </w:pPr>
      <w:r>
        <w:t>8. Attendance, Conduct, and Customer Service</w:t>
      </w:r>
    </w:p>
    <w:p>
      <w:pPr>
        <w:pStyle w:val="ListBullet"/>
        <w:spacing w:after="60"/>
      </w:pPr>
      <w:r>
        <w:t>Staff must report on time, dress neatly, serve customers respectfully, and keep the shop clean.</w:t>
      </w:r>
    </w:p>
    <w:p>
      <w:pPr>
        <w:pStyle w:val="ListBullet"/>
        <w:spacing w:after="60"/>
      </w:pPr>
      <w:r>
        <w:t>Staff must not drink alcohol, use drugs, gamble, fight, harass others, or bring the company into disrepute during work.</w:t>
      </w:r>
    </w:p>
    <w:p>
      <w:pPr>
        <w:pStyle w:val="ListBullet"/>
        <w:spacing w:after="60"/>
      </w:pPr>
      <w:r>
        <w:t>Phones may be used for business communication but must not interfere with customers, cash handling, or stock control.</w:t>
      </w:r>
    </w:p>
    <w:p>
      <w:pPr>
        <w:pStyle w:val="ListBullet"/>
        <w:spacing w:after="60"/>
      </w:pPr>
      <w:r>
        <w:t>Customer complaints must be escalated to the MD/CEO or owner.</w:t>
      </w:r>
    </w:p>
    <w:p>
      <w:pPr>
        <w:pStyle w:val="Heading1"/>
      </w:pPr>
      <w:r>
        <w:t>9. Discipline and Grievance Procedure</w:t>
      </w:r>
    </w:p>
    <w:p>
      <w:pPr>
        <w:pStyle w:val="ListBullet"/>
        <w:spacing w:after="60"/>
      </w:pPr>
      <w:r>
        <w:t>Misconduct will be handled fairly and proportionately.</w:t>
      </w:r>
    </w:p>
    <w:p>
      <w:pPr>
        <w:pStyle w:val="ListBullet"/>
        <w:spacing w:after="60"/>
      </w:pPr>
      <w:r>
        <w:t>Serious misconduct may include theft, fraud, falsifying records, unauthorised cash use, violence, gross negligence, or deliberate stock loss.</w:t>
      </w:r>
    </w:p>
    <w:p>
      <w:pPr>
        <w:pStyle w:val="ListBullet"/>
        <w:spacing w:after="60"/>
      </w:pPr>
      <w:r>
        <w:t>Employees may raise grievances without victimisation. The complaint must be recorded, investigated, and responded to.</w:t>
      </w:r>
    </w:p>
    <w:p>
      <w:pPr>
        <w:pStyle w:val="ListBullet"/>
        <w:spacing w:after="60"/>
      </w:pPr>
      <w:r>
        <w:t>Where an NEC/CBA or registered employment code applies, it must be followed.</w:t>
      </w:r>
    </w:p>
    <w:p>
      <w:pPr>
        <w:pStyle w:val="Heading1"/>
      </w:pPr>
      <w:r>
        <w:t>10. Daily Required Records</w:t>
      </w:r>
    </w:p>
    <w:p>
      <w:pPr>
        <w:pStyle w:val="ListBullet"/>
        <w:spacing w:after="60"/>
      </w:pPr>
      <w:r>
        <w:t>Opening cash count.</w:t>
      </w:r>
    </w:p>
    <w:p>
      <w:pPr>
        <w:pStyle w:val="ListBullet"/>
        <w:spacing w:after="60"/>
      </w:pPr>
      <w:r>
        <w:t>Daily sales report.</w:t>
      </w:r>
    </w:p>
    <w:p>
      <w:pPr>
        <w:pStyle w:val="ListBullet"/>
        <w:spacing w:after="60"/>
      </w:pPr>
      <w:r>
        <w:t>Expense and payout register with receipts.</w:t>
      </w:r>
    </w:p>
    <w:p>
      <w:pPr>
        <w:pStyle w:val="ListBullet"/>
        <w:spacing w:after="60"/>
      </w:pPr>
      <w:r>
        <w:t>Savings, black box, rent reserve, and Operations transfer register.</w:t>
      </w:r>
    </w:p>
    <w:p>
      <w:pPr>
        <w:pStyle w:val="ListBullet"/>
        <w:spacing w:after="60"/>
      </w:pPr>
      <w:r>
        <w:t>Closing cash count and variance note.</w:t>
      </w:r>
    </w:p>
    <w:p>
      <w:pPr>
        <w:pStyle w:val="ListBullet"/>
        <w:spacing w:after="60"/>
      </w:pPr>
      <w:r>
        <w:t>Stock received, stock transferred, and stock lost/damaged register.</w:t>
      </w:r>
    </w:p>
    <w:p>
      <w:pPr>
        <w:pStyle w:val="Heading1"/>
      </w:pPr>
      <w:r>
        <w:t>11. Acknowledgement</w:t>
      </w:r>
    </w:p>
    <w:p>
      <w:r>
        <w:t>Each employee must sign acknowledgement that they received, understood, and agreed to follow this policy. Refusal to follow the policy may lead to disciplinary action.</w:t>
      </w:r>
    </w:p>
    <w:p>
      <w:pPr>
        <w:pStyle w:val="Heading1"/>
      </w:pPr>
      <w:r>
        <w:t>Signatures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896"/>
        <w:gridCol w:w="4896"/>
      </w:tblGrid>
      <w:tr>
        <w:tc>
          <w:tcPr>
            <w:tcW w:type="dxa" w:w="4680"/>
          </w:tcPr>
          <w:p>
            <w:r>
              <w:t>For Harvest Investive</w:t>
            </w:r>
          </w:p>
        </w:tc>
        <w:tc>
          <w:tcPr>
            <w:tcW w:type="dxa" w:w="4680"/>
          </w:tcPr>
          <w:p>
            <w:r>
              <w:t>Employee</w:t>
            </w:r>
          </w:p>
        </w:tc>
      </w:tr>
      <w:tr>
        <w:tc>
          <w:tcPr>
            <w:tcW w:type="dxa" w:w="4680"/>
          </w:tcPr>
          <w:p>
            <w:r>
              <w:t>David Chaeruka / Authorised Representative</w:t>
            </w:r>
          </w:p>
        </w:tc>
        <w:tc>
          <w:tcPr>
            <w:tcW w:type="dxa" w:w="4680"/>
          </w:tcPr>
          <w:p>
            <w:r>
              <w:t>Employee</w:t>
            </w:r>
          </w:p>
        </w:tc>
      </w:tr>
      <w:tr>
        <w:tc>
          <w:tcPr>
            <w:tcW w:type="dxa" w:w="4680"/>
          </w:tcPr>
          <w:p>
            <w:r>
              <w:t>Signature: ______________________________</w:t>
            </w:r>
          </w:p>
        </w:tc>
        <w:tc>
          <w:tcPr>
            <w:tcW w:type="dxa" w:w="4680"/>
          </w:tcPr>
          <w:p>
            <w:r>
              <w:t>Signature: ______________________________</w:t>
            </w:r>
          </w:p>
        </w:tc>
      </w:tr>
      <w:tr>
        <w:tc>
          <w:tcPr>
            <w:tcW w:type="dxa" w:w="4680"/>
          </w:tcPr>
          <w:p>
            <w:r>
              <w:t>Date: __________________</w:t>
            </w:r>
          </w:p>
        </w:tc>
        <w:tc>
          <w:tcPr>
            <w:tcW w:type="dxa" w:w="4680"/>
          </w:tcPr>
          <w:p>
            <w:r>
              <w:t>Date: __________________</w:t>
            </w:r>
          </w:p>
        </w:tc>
      </w:tr>
    </w:tbl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