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Sales Forecasting &amp; Demand Intelligence</w:t>
      </w:r>
    </w:p>
    <w:p>
      <w:pPr>
        <w:pBdr>
          <w:bottom w:val="single" w:color="1F4E79" w:sz="6" w:space="4"/>
        </w:pBdr>
        <w:spacing w:after="200"/>
      </w:pPr>
      <w:r>
        <w:rPr>
          <w:i/>
          <w:iCs/>
          <w:color w:val="595959"/>
          <w:sz w:val="22"/>
          <w:szCs w:val="22"/>
        </w:rPr>
        <w:t xml:space="preserve">Executive Summary — Prepared for Head of Supply Chain &amp; CFO</w:t>
      </w:r>
    </w:p>
    <w:p>
      <w:pPr>
        <w:pStyle w:val="Heading1"/>
        <w:spacing w:after="120" w:before="240"/>
      </w:pPr>
      <w:r>
        <w:t xml:space="preserve">Executive Summary</w:t>
      </w:r>
    </w:p>
    <w:p>
      <w:pPr>
        <w:spacing w:after="140"/>
      </w:pPr>
      <w:r>
        <w:t xml:space="preserve">Over the past four years (2015–2018), sales have grown steadily overall, and that growth follows a strong, repeating seasonal rhythm: November and December are reliably the strongest months every single year, with September a consistent third. We built and tested three different forecasting approaches on this history, and the most accurate one predicts sales within about 17% of actual results on average — accurate enough to plan staffing and purchasing around, though not precise enough to treat as an exact number. We also identified which product lines and regions are trending up versus down, flagged the sales weeks that broke the normal pattern, and built an interactive tool so the team can explore all of this without needing to touch any code.</w:t>
      </w:r>
    </w:p>
    <w:p>
      <w:pPr>
        <w:pStyle w:val="Heading1"/>
        <w:spacing w:after="120" w:before="240"/>
      </w:pPr>
      <w:r>
        <w:t xml:space="preserve">Key Findings</w:t>
      </w:r>
    </w:p>
    <w:p>
      <w:pPr>
        <w:pStyle w:val="ListParagraph"/>
        <w:numPr>
          <w:ilvl w:val="0"/>
          <w:numId w:val="1"/>
        </w:numPr>
        <w:spacing w:after="80"/>
      </w:pPr>
      <w:r>
        <w:t xml:space="preserve">Technology is the top revenue category (~$827K over four years), narrowly ahead of Furniture and Office Supplies — no single category dominates the business.</w:t>
      </w:r>
    </w:p>
    <w:p>
      <w:pPr>
        <w:pStyle w:val="ListParagraph"/>
        <w:numPr>
          <w:ilvl w:val="0"/>
          <w:numId w:val="1"/>
        </w:numPr>
        <w:spacing w:after="80"/>
      </w:pPr>
      <w:r>
        <w:t xml:space="preserve">The East region grows the most consistently year over year — every year was a positive year, at a steady pace. South is the most erratic, swinging from -32% one year to +34% the next.</w:t>
      </w:r>
    </w:p>
    <w:p>
      <w:pPr>
        <w:pStyle w:val="ListParagraph"/>
        <w:numPr>
          <w:ilvl w:val="0"/>
          <w:numId w:val="1"/>
        </w:numPr>
        <w:spacing w:after="80"/>
      </w:pPr>
      <w:r>
        <w:t xml:space="preserve">Shipping delay is essentially uniform across regions — all four average within two hours of each other (~3.9–4.1 days) — so region is not a meaningful lever for delivery speed in this data.</w:t>
      </w:r>
    </w:p>
    <w:p>
      <w:pPr>
        <w:pStyle w:val="ListParagraph"/>
        <w:numPr>
          <w:ilvl w:val="0"/>
          <w:numId w:val="1"/>
        </w:numPr>
        <w:spacing w:after="80"/>
      </w:pPr>
      <w:r>
        <w:t xml:space="preserve">Sales follow a strong, repeating yearly pattern (peaks in September, November, and December; a trough in February), and that seasonal pattern explains most of the month-to-month swings — more than the underlying growth trend does.</w:t>
      </w:r>
    </w:p>
    <w:p>
      <w:pPr>
        <w:pStyle w:val="Heading1"/>
        <w:spacing w:after="120" w:before="240"/>
      </w:pPr>
      <w:r>
        <w:t xml:space="preserve">3-Month Sales Forecast</w:t>
      </w:r>
    </w:p>
    <w:p>
      <w:pPr>
        <w:spacing w:after="140"/>
      </w:pPr>
      <w:r>
        <w:t xml:space="preserve">Three forecasting methods were tested against three months of real, held-out results (Oct–Dec 2018) to check accuracy honestly rather than just fitting the past. The recommended model clearly outperformed the other two on every accuracy measure, typically landing within about 17% of the actual figure — meaning a forecast of $50,000 should be read as "most likely somewhere between roughly $41,500 and $58,500," not as an exact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DCE6F1" w:val="clear"/>
          </w:tcPr>
          <w:p>
            <w:r>
              <w:rPr>
                <w:b/>
                <w:bCs/>
              </w:rPr>
              <w:t xml:space="preserve">Model</w:t>
            </w:r>
          </w:p>
        </w:tc>
        <w:tc>
          <w:tcPr>
            <w:tcW w:type="pct" w:w="20%"/>
            <w:shd w:fill="DCE6F1" w:val="clear"/>
          </w:tcPr>
          <w:p>
            <w:r>
              <w:rPr>
                <w:b/>
                <w:bCs/>
              </w:rPr>
              <w:t xml:space="preserve">MAE</w:t>
            </w:r>
          </w:p>
        </w:tc>
        <w:tc>
          <w:tcPr>
            <w:tcW w:type="pct" w:w="20%"/>
            <w:shd w:fill="DCE6F1" w:val="clear"/>
          </w:tcPr>
          <w:p>
            <w:r>
              <w:rPr>
                <w:b/>
                <w:bCs/>
              </w:rPr>
              <w:t xml:space="preserve">RMSE</w:t>
            </w:r>
          </w:p>
        </w:tc>
        <w:tc>
          <w:tcPr>
            <w:tcW w:type="pct" w:w="20%"/>
            <w:shd w:fill="DCE6F1" w:val="clear"/>
          </w:tcPr>
          <w:p>
            <w:r>
              <w:rPr>
                <w:b/>
                <w:bCs/>
              </w:rPr>
              <w:t xml:space="preserve">MAPE</w:t>
            </w:r>
          </w:p>
        </w:tc>
        <w:tc>
          <w:tcPr>
            <w:tcW w:type="pct" w:w="20%"/>
            <w:shd w:fill="DCE6F1" w:val="clear"/>
          </w:tcPr>
          <w:p>
            <w:r>
              <w:rPr>
                <w:b/>
                <w:bCs/>
              </w:rPr>
              <w:t xml:space="preserve">Recommended?</w:t>
            </w:r>
          </w:p>
        </w:tc>
      </w:tr>
      <w:tr>
        <w:tc>
          <w:tcPr>
            <w:tcW w:type="pct" w:w="20%"/>
          </w:tcPr>
          <w:p>
            <w:r>
              <w:rPr>
                <w:b w:val="false"/>
                <w:bCs w:val="false"/>
              </w:rPr>
              <w:t xml:space="preserve">SARIMA</w:t>
            </w:r>
          </w:p>
        </w:tc>
        <w:tc>
          <w:tcPr>
            <w:tcW w:type="pct" w:w="20%"/>
          </w:tcPr>
          <w:p>
            <w:r>
              <w:rPr>
                <w:b w:val="false"/>
                <w:bCs w:val="false"/>
              </w:rPr>
              <w:t xml:space="preserve">$21,060</w:t>
            </w:r>
          </w:p>
        </w:tc>
        <w:tc>
          <w:tcPr>
            <w:tcW w:type="pct" w:w="20%"/>
          </w:tcPr>
          <w:p>
            <w:r>
              <w:rPr>
                <w:b w:val="false"/>
                <w:bCs w:val="false"/>
              </w:rPr>
              <w:t xml:space="preserve">$22,020</w:t>
            </w:r>
          </w:p>
        </w:tc>
        <w:tc>
          <w:tcPr>
            <w:tcW w:type="pct" w:w="20%"/>
          </w:tcPr>
          <w:p>
            <w:r>
              <w:rPr>
                <w:b w:val="false"/>
                <w:bCs w:val="false"/>
              </w:rPr>
              <w:t xml:space="preserve">22.4%</w:t>
            </w:r>
          </w:p>
        </w:tc>
        <w:tc>
          <w:tcPr>
            <w:tcW w:type="pct" w:w="20%"/>
          </w:tcPr>
          <w:p>
            <w:r>
              <w:rPr>
                <w:b w:val="false"/>
                <w:bCs w:val="false"/>
              </w:rPr>
              <w:t xml:space="preserve">Backup / uncertainty range</w:t>
            </w:r>
          </w:p>
        </w:tc>
      </w:tr>
      <w:tr>
        <w:tc>
          <w:tcPr>
            <w:tcW w:type="pct" w:w="20%"/>
          </w:tcPr>
          <w:p>
            <w:r>
              <w:rPr>
                <w:b w:val="false"/>
                <w:bCs w:val="false"/>
              </w:rPr>
              <w:t xml:space="preserve">Prophet</w:t>
            </w:r>
          </w:p>
        </w:tc>
        <w:tc>
          <w:tcPr>
            <w:tcW w:type="pct" w:w="20%"/>
          </w:tcPr>
          <w:p>
            <w:r>
              <w:rPr>
                <w:b w:val="false"/>
                <w:bCs w:val="false"/>
              </w:rPr>
              <w:t xml:space="preserve">$20,296</w:t>
            </w:r>
          </w:p>
        </w:tc>
        <w:tc>
          <w:tcPr>
            <w:tcW w:type="pct" w:w="20%"/>
          </w:tcPr>
          <w:p>
            <w:r>
              <w:rPr>
                <w:b w:val="false"/>
                <w:bCs w:val="false"/>
              </w:rPr>
              <w:t xml:space="preserve">$22,488</w:t>
            </w:r>
          </w:p>
        </w:tc>
        <w:tc>
          <w:tcPr>
            <w:tcW w:type="pct" w:w="20%"/>
          </w:tcPr>
          <w:p>
            <w:r>
              <w:rPr>
                <w:b w:val="false"/>
                <w:bCs w:val="false"/>
              </w:rPr>
              <w:t xml:space="preserve">21.9%</w:t>
            </w:r>
          </w:p>
        </w:tc>
        <w:tc>
          <w:tcPr>
            <w:tcW w:type="pct" w:w="20%"/>
          </w:tcPr>
          <w:p>
            <w:r>
              <w:rPr>
                <w:b w:val="false"/>
                <w:bCs w:val="false"/>
              </w:rPr>
              <w:t xml:space="preserve">No</w:t>
            </w:r>
          </w:p>
        </w:tc>
      </w:tr>
      <w:tr>
        <w:tc>
          <w:tcPr>
            <w:tcW w:type="pct" w:w="20%"/>
          </w:tcPr>
          <w:p>
            <w:r>
              <w:rPr>
                <w:b w:val="false"/>
                <w:bCs w:val="false"/>
              </w:rPr>
              <w:t xml:space="preserve">XGBoost</w:t>
            </w:r>
          </w:p>
        </w:tc>
        <w:tc>
          <w:tcPr>
            <w:tcW w:type="pct" w:w="20%"/>
          </w:tcPr>
          <w:p>
            <w:r>
              <w:rPr>
                <w:b w:val="false"/>
                <w:bCs w:val="false"/>
              </w:rPr>
              <w:t xml:space="preserve">$16,977</w:t>
            </w:r>
          </w:p>
        </w:tc>
        <w:tc>
          <w:tcPr>
            <w:tcW w:type="pct" w:w="20%"/>
          </w:tcPr>
          <w:p>
            <w:r>
              <w:rPr>
                <w:b w:val="false"/>
                <w:bCs w:val="false"/>
              </w:rPr>
              <w:t xml:space="preserve">$20,558</w:t>
            </w:r>
          </w:p>
        </w:tc>
        <w:tc>
          <w:tcPr>
            <w:tcW w:type="pct" w:w="20%"/>
          </w:tcPr>
          <w:p>
            <w:r>
              <w:rPr>
                <w:b w:val="false"/>
                <w:bCs w:val="false"/>
              </w:rPr>
              <w:t xml:space="preserve">16.7%</w:t>
            </w:r>
          </w:p>
        </w:tc>
        <w:tc>
          <w:tcPr>
            <w:tcW w:type="pct" w:w="20%"/>
          </w:tcPr>
          <w:p>
            <w:r>
              <w:rPr>
                <w:b w:val="false"/>
                <w:bCs w:val="false"/>
              </w:rPr>
              <w:t xml:space="preserve">Yes - primary</w:t>
            </w:r>
          </w:p>
        </w:tc>
      </w:tr>
    </w:tbl>
    <w:p>
      <w:pPr>
        <w:spacing w:after="120"/>
      </w:pPr>
    </w:p>
    <w:p>
      <w:pPr>
        <w:spacing w:after="140"/>
      </w:pPr>
      <w:r>
        <w:t xml:space="preserve">The recommended model performs best largely because it can use "which calendar month is it" directly as an input, and this business's sales are driven overwhelmingly by that seasonal calendar effect. The two other methods have to infer the seasonal shape purely from the pattern of past sales, which is a harder problem. We'd still keep the backup statistical model's confidence range alongside the primary forecast, since it's built to quantify uncertainty in a more rigorous way — useful for setting inventory safety margins.</w:t>
      </w:r>
    </w:p>
    <w:p>
      <w:pPr>
        <w:pStyle w:val="Heading1"/>
        <w:spacing w:after="120" w:before="240"/>
      </w:pPr>
      <w:r>
        <w:t xml:space="preserve">Top Anomalies Detected</w:t>
      </w:r>
    </w:p>
    <w:p>
      <w:pPr>
        <w:spacing w:after="140"/>
      </w:pPr>
      <w:r>
        <w:t xml:space="preserve">Two independent methods scanned four years of weekly sales for unusual weeks — one flags anything far from the overall four-year average, the other flags anything unusual compared to the weeks immediately around it. They only agreed on one week out of four years, which is itself a useful finding: most of what looks 'unusual' in a full-year view (like the November holiday peak) is actually expected once you account for what's happening nearby.</w:t>
      </w:r>
    </w:p>
    <w:p>
      <w:pPr>
        <w:pStyle w:val="ListParagraph"/>
        <w:numPr>
          <w:ilvl w:val="0"/>
          <w:numId w:val="1"/>
        </w:numPr>
        <w:spacing w:after="80"/>
      </w:pPr>
      <w:r>
        <w:t xml:space="preserve">Week of November 22, 2015 — flagged by both methods; the clearest signal of a genuinely unusual week in four years.</w:t>
      </w:r>
    </w:p>
    <w:p>
      <w:pPr>
        <w:pStyle w:val="ListParagraph"/>
        <w:numPr>
          <w:ilvl w:val="0"/>
          <w:numId w:val="1"/>
        </w:numPr>
        <w:spacing w:after="80"/>
      </w:pPr>
      <w:r>
        <w:t xml:space="preserve">Late November and December 2018 — consistent with Black Friday / Cyber Monday and year-end holiday buying, the strongest weeks in the entire dataset.</w:t>
      </w:r>
    </w:p>
    <w:p>
      <w:pPr>
        <w:pStyle w:val="ListParagraph"/>
        <w:numPr>
          <w:ilvl w:val="0"/>
          <w:numId w:val="1"/>
        </w:numPr>
        <w:spacing w:after="80"/>
      </w:pPr>
      <w:r>
        <w:t xml:space="preserve">September 2015, October 2017, December 2017 — consistent with back-to-school and pre-holiday bulk restocking.</w:t>
      </w:r>
    </w:p>
    <w:p>
      <w:pPr>
        <w:pStyle w:val="Heading1"/>
        <w:spacing w:after="120" w:before="240"/>
      </w:pPr>
      <w:r>
        <w:t xml:space="preserve">Product Demand Segments &amp; Stocking Strategy</w:t>
      </w:r>
    </w:p>
    <w:p>
      <w:pPr>
        <w:spacing w:after="100"/>
      </w:pPr>
      <w:r>
        <w:t xml:space="preserve">Products were grouped into four segments based on how much they sell, how fast that's growing, and how volatile demand is month to month.</w:t>
      </w:r>
    </w:p>
    <w:p>
      <w:pPr>
        <w:pStyle w:val="ListParagraph"/>
        <w:numPr>
          <w:ilvl w:val="0"/>
          <w:numId w:val="1"/>
        </w:numPr>
        <w:spacing w:after="80"/>
      </w:pPr>
      <w:r>
        <w:t xml:space="preserve">High Volume, Stable Demand (chairs, tables, storage, phones, binders, accessories): keep standard safety stock and reorder on a fixed schedule — these are the safest items to plan around.</w:t>
      </w:r>
    </w:p>
    <w:p>
      <w:pPr>
        <w:pStyle w:val="ListParagraph"/>
        <w:numPr>
          <w:ilvl w:val="0"/>
          <w:numId w:val="1"/>
        </w:numPr>
        <w:spacing w:after="80"/>
      </w:pPr>
      <w:r>
        <w:t xml:space="preserve">High Volatility, Growing Demand (copiers, machines): high value per sale but unpredictable timing — hold a larger buffer or move to a just-in-time supplier arrangement rather than tying up capital on the shelf.</w:t>
      </w:r>
    </w:p>
    <w:p>
      <w:pPr>
        <w:pStyle w:val="ListParagraph"/>
        <w:numPr>
          <w:ilvl w:val="0"/>
          <w:numId w:val="1"/>
        </w:numPr>
        <w:spacing w:after="80"/>
      </w:pPr>
      <w:r>
        <w:t xml:space="preserve">Growing Demand (general supplies): a smaller category currently growing quickly — worth monitoring for a bigger stocking commitment if the trend continues.</w:t>
      </w:r>
    </w:p>
    <w:p>
      <w:pPr>
        <w:pStyle w:val="ListParagraph"/>
        <w:numPr>
          <w:ilvl w:val="0"/>
          <w:numId w:val="1"/>
        </w:numPr>
        <w:spacing w:after="80"/>
      </w:pPr>
      <w:r>
        <w:t xml:space="preserve">Low Volume, Stable Demand (bookcases, labels, paper, art, and similar smaller items): the long tail — minimal stock, order-on-demand where possible.</w:t>
      </w:r>
    </w:p>
    <w:p>
      <w:pPr>
        <w:pStyle w:val="Heading1"/>
        <w:spacing w:after="120" w:before="240"/>
      </w:pPr>
      <w:r>
        <w:t xml:space="preserve">Business Recommendations</w:t>
      </w:r>
    </w:p>
    <w:p>
      <w:pPr>
        <w:pStyle w:val="ListParagraph"/>
        <w:numPr>
          <w:ilvl w:val="0"/>
          <w:numId w:val="1"/>
        </w:numPr>
        <w:spacing w:after="80"/>
      </w:pPr>
      <w:r>
        <w:t xml:space="preserve">Build extra staffing and inventory buffer into September, November, and December every year — these months are not occasional spikes, they are a reliable, repeating pattern across all four years of data.</w:t>
      </w:r>
    </w:p>
    <w:p>
      <w:pPr>
        <w:pStyle w:val="ListParagraph"/>
        <w:numPr>
          <w:ilvl w:val="0"/>
          <w:numId w:val="1"/>
        </w:numPr>
        <w:spacing w:after="80"/>
      </w:pPr>
      <w:r>
        <w:t xml:space="preserve">Watch the Technology category and West region closely next quarter — both are projected to decline (Technology -11%, West -18%) versus the same quarter last year, while East region and Office Supplies are projected to grow (+23% and +11%). Worth investigating what's driving the divergence before it's baked into next year's plan.</w:t>
      </w:r>
    </w:p>
    <w:p>
      <w:pPr>
        <w:pStyle w:val="ListParagraph"/>
        <w:numPr>
          <w:ilvl w:val="0"/>
          <w:numId w:val="1"/>
        </w:numPr>
        <w:spacing w:after="80"/>
      </w:pPr>
      <w:r>
        <w:t xml:space="preserve">Treat the recommended forecasting model's output as a planning range, not an exact number, and revisit it monthly as new sales data comes in.</w:t>
      </w:r>
    </w:p>
    <w:p>
      <w:pPr>
        <w:pStyle w:val="Heading1"/>
        <w:spacing w:after="120" w:before="240"/>
      </w:pPr>
      <w:r>
        <w:t xml:space="preserve">Risk &amp; Limitation</w:t>
      </w:r>
    </w:p>
    <w:p>
      <w:pPr>
        <w:spacing w:after="140"/>
      </w:pPr>
      <w:r>
        <w:t xml:space="preserve">The biggest limitation of this system is data volume: the forecasting models were trained on only four years (48 months) of company-wide history, and even less at the individual product-category or region level. That's enough to catch the big seasonal pattern reliably — which is the main driver of this business's sales — but not enough for the models to be fully confident about smaller shifts, especially at the segment level where each category or region model has the same 48 months spread across a thinner, noisier signal. As more months of real sales data accumulate, these forecasts should be retrained and will become steadily more dependable; until then, they're best used to guide planning ranges and staffing, not as a substitute for judgment on individual purchasing decisions.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2026-07-12T18:16:43.935Z</dcterms:created>
  <dcterms:modified xsi:type="dcterms:W3CDTF">2026-07-12T18:16:43.944Z</dcterms:modified>
</cp:coreProperties>
</file>

<file path=docProps/custom.xml><?xml version="1.0" encoding="utf-8"?>
<Properties xmlns="http://schemas.openxmlformats.org/officeDocument/2006/custom-properties" xmlns:vt="http://schemas.openxmlformats.org/officeDocument/2006/docPropsVTypes"/>
</file>