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Facebook Ads Practice Campaign – Daily Work Log</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wz5so4lumwa" w:id="0"/>
      <w:bookmarkEnd w:id="0"/>
      <w:r w:rsidDel="00000000" w:rsidR="00000000" w:rsidRPr="00000000">
        <w:rPr>
          <w:b w:val="1"/>
          <w:bCs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To analyze competing digital marketing education brands and their marketing approaches in order to identify useful insights, messaging patterns, creative approaches, and opportunities for the SkillGrow Digital Academy Facebook Ads practice campaign.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cnha9nqr3yo" w:id="1"/>
      <w:bookmarkEnd w:id="1"/>
      <w:r w:rsidDel="00000000" w:rsidR="00000000" w:rsidRPr="00000000">
        <w:rPr>
          <w:b w:val="1"/>
          <w:bCs w:val="1"/>
          <w:color w:val="000000"/>
          <w:sz w:val="26"/>
          <w:szCs w:val="26"/>
          <w:rtl w:val="0"/>
        </w:rPr>
        <w:t xml:space="preserve">Activities Performed</w:t>
      </w:r>
    </w:p>
    <w:p w:rsidR="00000000" w:rsidDel="00000000" w:rsidP="00000000" w:rsidRDefault="00000000" w:rsidRPr="00000000" w14:paraId="00000006">
      <w:pPr>
        <w:spacing w:after="240" w:before="240" w:lineRule="auto"/>
        <w:rPr/>
      </w:pPr>
      <w:r w:rsidDel="00000000" w:rsidR="00000000" w:rsidRPr="00000000">
        <w:rPr>
          <w:rtl w:val="0"/>
        </w:rPr>
        <w:t xml:space="preserve">● Researched established digital marketing education and professional training brands relevant to SkillGrow Digital Academy.</w:t>
        <w:br w:type="textWrapping"/>
        <w:t xml:space="preserve"> ● Studied </w:t>
      </w:r>
      <w:r w:rsidDel="00000000" w:rsidR="00000000" w:rsidRPr="00000000">
        <w:rPr>
          <w:b w:val="1"/>
          <w:bCs w:val="1"/>
          <w:rtl w:val="0"/>
        </w:rPr>
        <w:t xml:space="preserve">upGrad, Simplilearn, and NIIT</w:t>
      </w:r>
      <w:r w:rsidDel="00000000" w:rsidR="00000000" w:rsidRPr="00000000">
        <w:rPr>
          <w:rtl w:val="0"/>
        </w:rPr>
        <w:t xml:space="preserve"> as reference competitors/market players.</w:t>
        <w:br w:type="textWrapping"/>
        <w:t xml:space="preserve"> ● Reviewed their relevant digital marketing course and program offerings.</w:t>
        <w:br w:type="textWrapping"/>
        <w:t xml:space="preserve"> ● Analyzed the target audiences addressed by the selected brands.</w:t>
        <w:br w:type="textWrapping"/>
        <w:t xml:space="preserve"> ● Studied common messaging themes such as practical learning, career development, professional skills, certification, and employability.</w:t>
        <w:br w:type="textWrapping"/>
        <w:t xml:space="preserve"> ● Reviewed publicly available communication and creative approaches used by the selected brands.</w:t>
        <w:br w:type="textWrapping"/>
        <w:t xml:space="preserve"> ● Compared the competitors based on their offerings, target audiences, messaging themes, and creative approaches.</w:t>
        <w:br w:type="textWrapping"/>
        <w:t xml:space="preserve"> ● Identified practical learning, project-based learning, career preparation, and structured learning as important themes in the market.</w:t>
        <w:br w:type="textWrapping"/>
        <w:t xml:space="preserve"> ● Identified potential opportunities for SkillGrow Digital Academy to develop a beginner-friendly and practical positioning.</w:t>
        <w:br w:type="textWrapping"/>
        <w:t xml:space="preserve"> ● Prepared a competitor comparison table for use in the campaign strategy.</w:t>
        <w:br w:type="textWrapping"/>
        <w:t xml:space="preserve"> ● Created a presentation-ready competitor comparison slide summarizing the key findings.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eype5cri9t3" w:id="2"/>
      <w:bookmarkEnd w:id="2"/>
      <w:r w:rsidDel="00000000" w:rsidR="00000000" w:rsidRPr="00000000">
        <w:rPr>
          <w:b w:val="1"/>
          <w:bCs w:val="1"/>
          <w:color w:val="000000"/>
          <w:sz w:val="26"/>
          <w:szCs w:val="26"/>
          <w:rtl w:val="0"/>
        </w:rPr>
        <w:t xml:space="preserve">Competitor Research Status</w:t>
      </w:r>
    </w:p>
    <w:p w:rsidR="00000000" w:rsidDel="00000000" w:rsidP="00000000" w:rsidRDefault="00000000" w:rsidRPr="00000000" w14:paraId="00000008">
      <w:pPr>
        <w:spacing w:after="240" w:before="240" w:lineRule="auto"/>
        <w:rPr/>
      </w:pPr>
      <w:r w:rsidDel="00000000" w:rsidR="00000000" w:rsidRPr="00000000">
        <w:rPr>
          <w:rtl w:val="0"/>
        </w:rPr>
        <w:t xml:space="preserve">● Three relevant market players—upGrad, Simplilearn, and NIIT—were reviewed.</w:t>
        <w:br w:type="textWrapping"/>
        <w:t xml:space="preserve"> ● Their relevant offerings and target audiences were documented.</w:t>
        <w:br w:type="textWrapping"/>
        <w:t xml:space="preserve"> ● Common messaging and communication themes were identified.</w:t>
        <w:br w:type="textWrapping"/>
        <w:t xml:space="preserve"> ● Creative approaches were reviewed at a high level using publicly available information.</w:t>
        <w:br w:type="textWrapping"/>
        <w:t xml:space="preserve"> ● Potential positioning opportunities for SkillGrow were identified.</w:t>
        <w:br w:type="textWrapping"/>
        <w:t xml:space="preserve"> ● The findings will be used to develop the campaign strategy and advertising creatives.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tjlgbxmpsud" w:id="3"/>
      <w:bookmarkEnd w:id="3"/>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rwvm9ulrjzx" w:id="4"/>
      <w:bookmarkEnd w:id="4"/>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6ndh71l49y" w:id="5"/>
      <w:bookmarkEnd w:id="5"/>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yt0jnfial0h" w:id="6"/>
      <w:bookmarkEnd w:id="6"/>
      <w:r w:rsidDel="00000000" w:rsidR="00000000" w:rsidRPr="00000000">
        <w:rPr>
          <w:b w:val="1"/>
          <w:bCs w:val="1"/>
          <w:color w:val="000000"/>
          <w:sz w:val="26"/>
          <w:szCs w:val="26"/>
          <w:rtl w:val="0"/>
        </w:rPr>
        <w:t xml:space="preserve">Learning Outcome</w:t>
      </w:r>
    </w:p>
    <w:p w:rsidR="00000000" w:rsidDel="00000000" w:rsidP="00000000" w:rsidRDefault="00000000" w:rsidRPr="00000000" w14:paraId="0000000D">
      <w:pPr>
        <w:spacing w:after="240" w:before="240" w:lineRule="auto"/>
        <w:rPr/>
      </w:pPr>
      <w:r w:rsidDel="00000000" w:rsidR="00000000" w:rsidRPr="00000000">
        <w:rPr>
          <w:rtl w:val="0"/>
        </w:rPr>
        <w:t xml:space="preserve">Today I learned:</w:t>
      </w:r>
    </w:p>
    <w:p w:rsidR="00000000" w:rsidDel="00000000" w:rsidP="00000000" w:rsidRDefault="00000000" w:rsidRPr="00000000" w14:paraId="0000000E">
      <w:pPr>
        <w:spacing w:after="240" w:before="240" w:lineRule="auto"/>
        <w:rPr/>
      </w:pPr>
      <w:r w:rsidDel="00000000" w:rsidR="00000000" w:rsidRPr="00000000">
        <w:rPr>
          <w:rtl w:val="0"/>
        </w:rPr>
        <w:t xml:space="preserve">● How competitor research can support a digital advertising campaign.</w:t>
        <w:br w:type="textWrapping"/>
        <w:t xml:space="preserve"> ● How online education brands position digital marketing courses for different audiences.</w:t>
        <w:br w:type="textWrapping"/>
        <w:t xml:space="preserve"> ● How businesses use practical learning, projects, certification, and career development in their marketing communication.</w:t>
        <w:br w:type="textWrapping"/>
        <w:t xml:space="preserve"> ● How to compare competitors based on their offerings, audiences, messaging, and creative approaches.</w:t>
        <w:br w:type="textWrapping"/>
        <w:t xml:space="preserve"> ● How competitor research can help identify opportunities for differentiation.</w:t>
        <w:br w:type="textWrapping"/>
        <w:t xml:space="preserve"> ● The importance of developing original advertising messages instead of directly copying competitors.</w:t>
        <w:br w:type="textWrapping"/>
        <w:t xml:space="preserve"> ● How competitor insights can be converted into actionable campaign strategy.</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