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Facebook Ads Practice Campaign – Daily Work Log    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49a43jt4z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develop a practical bid and budget allocation plan for the 15-day SkillGrow Digital Academy Facebook Ads practice campaign, including total budget, daily budget, audience allocation, testing budget, and performance measurement.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bz333ng3b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Activities Performed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Reviewed the campaign strategy developed during the previous stage.</w:t>
        <w:br w:type="textWrapping"/>
        <w:t xml:space="preserve">● Defined a proposed 15-day practice campaign budget of ₹15,000.</w:t>
        <w:br w:type="textWrapping"/>
        <w:t xml:space="preserve">● Calculated a proposed average daily budget of ₹1,000.</w:t>
        <w:br w:type="textWrapping"/>
        <w:t xml:space="preserve">● Allocated the practice budget across the three primary audience segments.</w:t>
        <w:br w:type="textWrapping"/>
        <w:t xml:space="preserve">● Allocated ₹4,500 to the student audience segment.</w:t>
        <w:br w:type="textWrapping"/>
        <w:t xml:space="preserve">● Allocated ₹5,250 to the graduate/job seeker audience segment.</w:t>
        <w:br w:type="textWrapping"/>
        <w:t xml:space="preserve">● Allocated ₹3,750 to the career-switcher audience segment.</w:t>
        <w:br w:type="textWrapping"/>
        <w:t xml:space="preserve">● Reserved ₹1,500 for creative testing and optimization activities.</w:t>
        <w:br w:type="textWrapping"/>
        <w:t xml:space="preserve">● Developed a proposed daily budget allocation across the audience segments.</w:t>
        <w:br w:type="textWrapping"/>
        <w:t xml:space="preserve">● Selected a lowest-cost bidding approach for the practice campaign plan.</w:t>
        <w:br w:type="textWrapping"/>
        <w:t xml:space="preserve">● Defined lead generation as the primary optimization goal.</w:t>
        <w:br w:type="textWrapping"/>
        <w:t xml:space="preserve">● Identified CPL, CTR, CPC, CPM, and lead conversion rate as important performance metrics.</w:t>
        <w:br w:type="textWrapping"/>
        <w:t xml:space="preserve">● Developed a basic budget optimization approach for comparing audience and creative performance.</w:t>
        <w:br w:type="textWrapping"/>
        <w:t xml:space="preserve">● Documented the difference between a planned practice budget and actual advertising expenditure.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ig2z89066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Budget &amp; Bid Status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Proposed total practice budget: </w:t>
      </w:r>
      <w:r w:rsidDel="00000000" w:rsidR="00000000" w:rsidRPr="00000000">
        <w:rPr>
          <w:b w:val="1"/>
          <w:bCs w:val="1"/>
          <w:rtl w:val="0"/>
        </w:rPr>
        <w:t xml:space="preserve">₹15,000</w:t>
      </w:r>
      <w:r w:rsidDel="00000000" w:rsidR="00000000" w:rsidRPr="00000000">
        <w:rPr>
          <w:rtl w:val="0"/>
        </w:rPr>
        <w:t xml:space="preserve">.</w:t>
        <w:br w:type="textWrapping"/>
        <w:t xml:space="preserve">● Proposed campaign duration: </w:t>
      </w:r>
      <w:r w:rsidDel="00000000" w:rsidR="00000000" w:rsidRPr="00000000">
        <w:rPr>
          <w:b w:val="1"/>
          <w:bCs w:val="1"/>
          <w:rtl w:val="0"/>
        </w:rPr>
        <w:t xml:space="preserve">15 days</w:t>
      </w:r>
      <w:r w:rsidDel="00000000" w:rsidR="00000000" w:rsidRPr="00000000">
        <w:rPr>
          <w:rtl w:val="0"/>
        </w:rPr>
        <w:t xml:space="preserve">.</w:t>
        <w:br w:type="textWrapping"/>
        <w:t xml:space="preserve">● Proposed average daily budget: </w:t>
      </w:r>
      <w:r w:rsidDel="00000000" w:rsidR="00000000" w:rsidRPr="00000000">
        <w:rPr>
          <w:b w:val="1"/>
          <w:bCs w:val="1"/>
          <w:rtl w:val="0"/>
        </w:rPr>
        <w:t xml:space="preserve">₹1,000</w:t>
      </w:r>
      <w:r w:rsidDel="00000000" w:rsidR="00000000" w:rsidRPr="00000000">
        <w:rPr>
          <w:rtl w:val="0"/>
        </w:rPr>
        <w:t xml:space="preserve">.</w:t>
        <w:br w:type="textWrapping"/>
        <w:t xml:space="preserve">● Budget has been allocated across the three audience segments and testing activities.</w:t>
        <w:br w:type="textWrapping"/>
        <w:t xml:space="preserve">● Lowest-cost bidding has been selected as the proposed bidding approach.</w:t>
        <w:br w:type="textWrapping"/>
        <w:t xml:space="preserve">● Lead generation has been selected as the primary optimization goal.</w:t>
        <w:br w:type="textWrapping"/>
        <w:t xml:space="preserve">● No actual advertising expenditure has been made as part of this planning exercise.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8kkqb8th0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4zlxfdr62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esn9w75ae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Outcome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I learned: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How to calculate a campaign's total and daily advertising budget.</w:t>
        <w:br w:type="textWrapping"/>
        <w:t xml:space="preserve">● How to allocate a budget across different audience segments.</w:t>
        <w:br w:type="textWrapping"/>
        <w:t xml:space="preserve">● The purpose of a bidding strategy in paid advertising.</w:t>
        <w:br w:type="textWrapping"/>
        <w:t xml:space="preserve">● How CPL can be calculated and used to evaluate lead-generation efficiency.</w:t>
        <w:br w:type="textWrapping"/>
        <w:t xml:space="preserve">● The importance of CTR, CPC, CPM, and conversion rate when evaluating advertising performance.</w:t>
        <w:br w:type="textWrapping"/>
        <w:t xml:space="preserve">● How budget allocation can be adjusted based on campaign performance.</w:t>
        <w:br w:type="textWrapping"/>
        <w:t xml:space="preserve">● The difference between a planned campaign budget and actual advertising expenditure.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