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n4tc593gf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structured campaign testing plan for SkillGrow Digital Academy by defining audience tests, creative formats, messaging variations, budget allocation, and performance comparison criteria.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6ud2uxa89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Reviewed the budget allocation plan prepared during Day 6.</w:t>
        <w:br w:type="textWrapping"/>
        <w:t xml:space="preserve">● Developed a structured testing framework for the Facebook Ads practice campaign.</w:t>
        <w:br w:type="textWrapping"/>
        <w:t xml:space="preserve">● Defined three primary audience groups: students, graduates/job seekers, and career switchers.</w:t>
        <w:br w:type="textWrapping"/>
        <w:t xml:space="preserve">● Connected each audience group with the corresponding customer persona developed earlier.</w:t>
        <w:br w:type="textWrapping"/>
        <w:t xml:space="preserve">● Planned three creative formats: single-image advertisements, short video advertisements, and carousel advertisements.</w:t>
        <w:br w:type="textWrapping"/>
        <w:t xml:space="preserve">● Developed three primary messaging themes: career preparation, job readiness, and career transition.</w:t>
        <w:br w:type="textWrapping"/>
        <w:t xml:space="preserve">● Planned a campaign structure consisting of one campaign, three ad sets, and multiple ad variations.</w:t>
        <w:br w:type="textWrapping"/>
        <w:t xml:space="preserve">● Developed a plan for comparing audience and creative performance.</w:t>
        <w:br w:type="textWrapping"/>
        <w:t xml:space="preserve">● Maintained the proposed ₹15,000 practice budget from Day 6.</w:t>
        <w:br w:type="textWrapping"/>
        <w:t xml:space="preserve">● Reserved ₹1,500 for additional testing and optimization activities.</w:t>
        <w:br w:type="textWrapping"/>
        <w:t xml:space="preserve">● Defined performance metrics including Reach, CTR, CPC, Leads, and CPL for future comparison.</w:t>
        <w:br w:type="textWrapping"/>
        <w:t xml:space="preserve">● Developed an initial optimization framework for identifying potential issues with audience, creative, messaging, and lead generation.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whws7sky8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Testing 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Three audience segments have been defined for testing.</w:t>
        <w:br w:type="textWrapping"/>
        <w:t xml:space="preserve">● Three creative formats have been selected.</w:t>
        <w:br w:type="textWrapping"/>
        <w:t xml:space="preserve">● Three messaging themes have been developed.</w:t>
        <w:br w:type="textWrapping"/>
        <w:t xml:space="preserve">● Nine ad variations have been planned.</w:t>
        <w:br w:type="textWrapping"/>
        <w:t xml:space="preserve">● A performance comparison framework has been prepared.</w:t>
        <w:br w:type="textWrapping"/>
        <w:t xml:space="preserve">● ₹1,500 has been reserved for testing/optimization.</w:t>
        <w:br w:type="textWrapping"/>
        <w:t xml:space="preserve">● No advertisements have been launched and no actual advertising expenditure has been made.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si6wcylxm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7gcg8ff0e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learned: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How to develop a structured testing strategy for Facebook Ads.</w:t>
        <w:br w:type="textWrapping"/>
        <w:t xml:space="preserve">● How audience, creative, and messaging variables can be tested separately.</w:t>
        <w:br w:type="textWrapping"/>
        <w:t xml:space="preserve">● How to connect customer personas with advertising messages.</w:t>
        <w:br w:type="textWrapping"/>
        <w:t xml:space="preserve">● How to compare different ad formats using performance metrics.</w:t>
        <w:br w:type="textWrapping"/>
        <w:t xml:space="preserve">● How to create a campaign structure using campaigns, ad sets, and ads.</w:t>
        <w:br w:type="textWrapping"/>
        <w:t xml:space="preserve">● How predefined optimization criteria can improve campaign analysis.</w:t>
        <w:br w:type="textWrapping"/>
        <w:t xml:space="preserve">● The importance of separating planned campaign data from actual campaign results.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