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Facebook Ads Practice Campaign – Daily Work Log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iu5fn76xl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plan and document the Meta Ads campaign setup for SkillGrow Digital Academy, including campaign objective, campaign structure, audience targeting, placements, budget allocation, and lead-generation form.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n7yxzgqv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Activities Performed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Defined the campaign name and Lead Generation objective.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Meta Instant Form as the planned lead destination.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 three-ad-set campaign structure based on the previously developed customer personas.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targeting parameters for students, graduates/job seekers, and career switchers.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location, age, gender and potential interest categories for each audience.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the planned placement strategy across Facebook and Instagram.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the previously established ₹15,000 practice budget into the campaign structure.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the structure of the Meta Instant Lead Form.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the campaign flow from advertisement to lead submission.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Established performance metrics that would be used for campaign evaluation.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Maintained the distinction between planned practice setup and an actual live advertising campaign.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bnjesvtaj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 Setup Status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 — Meta Ads campaign structure and setup plan prepared.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owwf5wftm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Outcome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Learned how a Meta Lead Generation campaign is structured from campaign level to ad-set and ad level. Understood how audience segmentation, placements, budget allocation, creative formats and lead forms work together to create a complete advertising campaign.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