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qzoty1um4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structured testing and optimization framework for the SkillGrow Digital Academy lead-generation campaign.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wx8xuigly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the three campaign audience segments.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audience testing criteria for Students, Graduates &amp; Job Seekers, and Career Switchers.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testing of Image, Reel, and Carousel ad formats.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placement strategy according to each creative format.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key campaign KPIs including CTR, CPC, Leads, CPL, and Lead Conversion Rate.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optimization rules for low CTR, high CPC, low lead conversion, and poor-quality leads.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testing and optimization timeline.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 3 × 3 campaign testing matrix covering three audiences and three creative formats.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that no unverified or simulated performance results were presented as actual campaign results.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rtzqf8aem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structure a Meta Ads testing framework.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importance of testing audience, creative, messaging, and placements.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different campaign KPIs can be used for optimization decisions.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difference between improving lead volume and improving lead quality.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to optimize a lead-generation campaign without relying on fabricated performance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