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su5mfy9i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analytics and reporting framework for the SkillGrow Digital Academy lead-generation campaign and define the key performance indicators required to evaluate campaign effectiveness.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72zebmaze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the key KPIs required for evaluating the Meta lead-generation campaign.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</w:t>
      </w:r>
      <w:r w:rsidDel="00000000" w:rsidR="00000000" w:rsidRPr="00000000">
        <w:rPr>
          <w:b w:val="1"/>
          <w:bCs w:val="1"/>
          <w:rtl w:val="0"/>
        </w:rPr>
        <w:t xml:space="preserve">Impressions, Reach, Clicks, CTR, CPC, Leads, CPL, and Lead Conversion Rate</w:t>
      </w:r>
      <w:r w:rsidDel="00000000" w:rsidR="00000000" w:rsidRPr="00000000">
        <w:rPr>
          <w:rtl w:val="0"/>
        </w:rPr>
        <w:t xml:space="preserve"> as the primary reporting metrics.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 campaign performance reporting structure for all three ad sets.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framework to compare </w:t>
      </w:r>
      <w:r w:rsidDel="00000000" w:rsidR="00000000" w:rsidRPr="00000000">
        <w:rPr>
          <w:b w:val="1"/>
          <w:bCs w:val="1"/>
          <w:rtl w:val="0"/>
        </w:rPr>
        <w:t xml:space="preserve">Image, Reel, and Carousel</w:t>
      </w:r>
      <w:r w:rsidDel="00000000" w:rsidR="00000000" w:rsidRPr="00000000">
        <w:rPr>
          <w:rtl w:val="0"/>
        </w:rPr>
        <w:t xml:space="preserve"> ad formats.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an audience-level reporting structure for: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Graduates &amp; Job Seekers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Switchers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the KPI framework with the optimization strategy developed on Day 13.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possible optimization actions for low CTR, high CPC, low lead conversion, and poor lead quality.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the reporting framework without adding fabricated campaign performance data.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the campaign as a </w:t>
      </w:r>
      <w:r w:rsidDel="00000000" w:rsidR="00000000" w:rsidRPr="00000000">
        <w:rPr>
          <w:b w:val="1"/>
          <w:bCs w:val="1"/>
          <w:rtl w:val="0"/>
        </w:rPr>
        <w:t xml:space="preserve">practice/planned campaign</w:t>
      </w:r>
      <w:r w:rsidDel="00000000" w:rsidR="00000000" w:rsidRPr="00000000">
        <w:rPr>
          <w:rtl w:val="0"/>
        </w:rPr>
        <w:t xml:space="preserve">, with performance fields kept available for future live execution.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o28ira69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identify relevant KPIs for a Meta lead-generation campaign.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difference between engagement, traffic, and lead-generation metrics.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campaign data can be used to identify optimization opportunities.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how to compare different audiences and creative formats.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the importance of maintaining accurate reporting without fabricating performance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