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Facebook Ads Practice Campaign – Daily Work Log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8znd5vru6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finalize the SkillGrow Digital Academy Facebook Ads Practice Campaign documentation, prepare a professional presentation explaining the work completed during the 15-day project, and organize the key learning outcomes and supporting evidence.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2zhcn04xq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Activities Completed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Reviewed and consolidated the final project report and the approved 15-day project structure.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Prepared a PowerPoint presentation explaining the campaign overview, objectives, target audiences, customer personas and competitor research.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the campaign structure consisting of one campaign, three ad sets and nine planned ads.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Included the planned ABO budget allocation of ₹15,000 over 15 days, distinguishing the planning-only reserve from the ad-set budgets.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the Image, Reel and Carousel creative strategy, including creative dimensions and placement plans.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Included available Meta Ads Manager screenshots and creative examples from the project evidence.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Summarized the Meta Instant Lead Form structure, testing framework, KPI definitions and optimization rules.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 the documentation to ensure that unverified campaign performance metrics were not presented as actual results.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ho7c9yg9j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Learning Outcomes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Understood how to structure a Meta lead-generation campaign for three audience segments.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Practiced audience-specific messaging and creative planning for Image, Reel and Carousel ads.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to plan ABO budgets at the ad-set level and distinguish planned allocation from actual spend.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Understood the role of Meta Instant Lead Forms, qualification questions, KPIs and optimization rules.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the importance of using genuine evidence and not inventing campaign performance data.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