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 Research Report 2026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p>
      <w:r>
        <w:t>The enterprise AI market continues to grow due to increased adoption of LLMs, RAG systems, and autonomous agents.</w:t>
      </w:r>
    </w:p>
    <w:p>
      <w:r>
        <w:t>Organizations increasingly adopt multi-agent architectures for research automation and decision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