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80"/>
      </w:pPr>
    </w:p>
    <w:p>
      <w:pPr>
        <w:spacing w:after="240" w:before="0"/>
        <w:jc w:val="center"/>
      </w:pPr>
      <w:r>
        <w:rPr>
          <w:rFonts w:ascii="Arial" w:cs="Arial" w:eastAsia="Arial" w:hAnsi="Arial"/>
          <w:b/>
          <w:bCs/>
          <w:i w:val="false"/>
          <w:iCs w:val="false"/>
          <w:color w:val="1E3A5F"/>
          <w:sz w:val="52"/>
          <w:szCs w:val="52"/>
        </w:rPr>
        <w:t xml:space="preserve">MODEL DEVELOPMENT DOCUMENT</w:t>
      </w:r>
    </w:p>
    <w:p>
      <w:pPr>
        <w:spacing w:after="120" w:before="0"/>
        <w:jc w:val="center"/>
      </w:pPr>
      <w:r>
        <w:rPr>
          <w:rFonts w:ascii="Arial" w:cs="Arial" w:eastAsia="Arial" w:hAnsi="Arial"/>
          <w:b/>
          <w:bCs/>
          <w:i w:val="false"/>
          <w:iCs w:val="false"/>
          <w:color w:val="2E75B6"/>
          <w:sz w:val="32"/>
          <w:szCs w:val="32"/>
        </w:rPr>
        <w:t xml:space="preserve">MDD</w:t>
      </w:r>
    </w:p>
    <w:p>
      <w:pPr>
        <w:spacing w:after="600" w:before="0"/>
        <w:jc w:val="center"/>
      </w:pPr>
      <w:r>
        <w:rPr>
          <w:rFonts w:ascii="Arial" w:cs="Arial" w:eastAsia="Arial" w:hAnsi="Arial"/>
          <w:b w:val="false"/>
          <w:bCs w:val="false"/>
          <w:i/>
          <w:iCs/>
          <w:color w:val="595959"/>
          <w:sz w:val="30"/>
          <w:szCs w:val="30"/>
        </w:rPr>
        <w:t xml:space="preserve">Capstone Project: Social Media Usage and Emotional Well-Being — NeuroSense Behavioural Emotion Classification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r>
              <w:rPr>
                <w:rFonts w:ascii="Arial" w:cs="Arial" w:eastAsia="Arial" w:hAnsi="Arial"/>
                <w:b/>
                <w:bCs/>
                <w:color w:val="1E3A5F"/>
                <w:sz w:val="20"/>
                <w:szCs w:val="20"/>
              </w:rPr>
              <w:t xml:space="preserve">Document Version</w:t>
            </w:r>
          </w:p>
        </w:tc>
        <w:tc>
          <w:tcPr>
            <w:tcW w:type="dxa" w:w="61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sz w:val="20"/>
                <w:szCs w:val="20"/>
              </w:rPr>
              <w:t xml:space="preserve">1.0 — Final Submission</w:t>
            </w:r>
          </w:p>
        </w:tc>
      </w:tr>
      <w:tr>
        <w:tc>
          <w:tcPr>
            <w:tcW w:type="dxa" w:w="32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r>
              <w:rPr>
                <w:rFonts w:ascii="Arial" w:cs="Arial" w:eastAsia="Arial" w:hAnsi="Arial"/>
                <w:b/>
                <w:bCs/>
                <w:color w:val="1E3A5F"/>
                <w:sz w:val="20"/>
                <w:szCs w:val="20"/>
              </w:rPr>
              <w:t xml:space="preserve">Author / Lead Data Scientist</w:t>
            </w:r>
          </w:p>
        </w:tc>
        <w:tc>
          <w:tcPr>
            <w:tcW w:type="dxa" w:w="61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sz w:val="20"/>
                <w:szCs w:val="20"/>
              </w:rPr>
              <w:t xml:space="preserve">Ashutosh Kaleron</w:t>
            </w:r>
          </w:p>
        </w:tc>
      </w:tr>
      <w:tr>
        <w:tc>
          <w:tcPr>
            <w:tcW w:type="dxa" w:w="32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r>
              <w:rPr>
                <w:rFonts w:ascii="Arial" w:cs="Arial" w:eastAsia="Arial" w:hAnsi="Arial"/>
                <w:b/>
                <w:bCs/>
                <w:color w:val="1E3A5F"/>
                <w:sz w:val="20"/>
                <w:szCs w:val="20"/>
              </w:rPr>
              <w:t xml:space="preserve">Stakeholders</w:t>
            </w:r>
          </w:p>
        </w:tc>
        <w:tc>
          <w:tcPr>
            <w:tcW w:type="dxa" w:w="61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sz w:val="20"/>
                <w:szCs w:val="20"/>
              </w:rPr>
              <w:t xml:space="preserve">IIT Faculty Review Board, Project Evaluators</w:t>
            </w:r>
          </w:p>
        </w:tc>
      </w:tr>
      <w:tr>
        <w:tc>
          <w:tcPr>
            <w:tcW w:type="dxa" w:w="32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r>
              <w:rPr>
                <w:rFonts w:ascii="Arial" w:cs="Arial" w:eastAsia="Arial" w:hAnsi="Arial"/>
                <w:b/>
                <w:bCs/>
                <w:color w:val="1E3A5F"/>
                <w:sz w:val="20"/>
                <w:szCs w:val="20"/>
              </w:rPr>
              <w:t xml:space="preserve">Date</w:t>
            </w:r>
          </w:p>
        </w:tc>
        <w:tc>
          <w:tcPr>
            <w:tcW w:type="dxa" w:w="61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sz w:val="20"/>
                <w:szCs w:val="20"/>
              </w:rPr>
              <w:t xml:space="preserve">July 2026</w:t>
            </w:r>
          </w:p>
        </w:tc>
      </w:tr>
      <w:tr>
        <w:tc>
          <w:tcPr>
            <w:tcW w:type="dxa" w:w="32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tcPr>
          <w:p>
            <w:r>
              <w:rPr>
                <w:rFonts w:ascii="Arial" w:cs="Arial" w:eastAsia="Arial" w:hAnsi="Arial"/>
                <w:b/>
                <w:bCs/>
                <w:color w:val="1E3A5F"/>
                <w:sz w:val="20"/>
                <w:szCs w:val="20"/>
              </w:rPr>
              <w:t xml:space="preserve">Programme</w:t>
            </w:r>
          </w:p>
        </w:tc>
        <w:tc>
          <w:tcPr>
            <w:tcW w:type="dxa" w:w="61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sz w:val="20"/>
                <w:szCs w:val="20"/>
              </w:rPr>
              <w:t xml:space="preserve">Applied Data Science, Machine Learning And AI — E&amp;ICT Academy, IIT Guwahati</w:t>
            </w:r>
          </w:p>
        </w:tc>
      </w:tr>
    </w:tbl>
    <w:p>
      <w:pPr>
        <w:spacing w:after="400"/>
      </w:pPr>
    </w:p>
    <w:p>
      <w:pPr>
        <w:spacing w:after="120" w:before="0"/>
        <w:jc w:val="center"/>
      </w:pPr>
      <w:r>
        <w:rPr>
          <w:rFonts w:ascii="Arial" w:cs="Arial" w:eastAsia="Arial" w:hAnsi="Arial"/>
          <w:b/>
          <w:bCs/>
          <w:i w:val="false"/>
          <w:iCs w:val="false"/>
          <w:color w:val="2E75B6"/>
          <w:sz w:val="20"/>
          <w:szCs w:val="20"/>
        </w:rPr>
        <w:t xml:space="preserve">CONFIDENTIAL — FOR ACADEMIC REVIEW ONLY</w:t>
      </w:r>
    </w:p>
    <w:p>
      <w:r>
        <w:br w:type="page"/>
      </w:r>
    </w:p>
    <w:p>
      <w:pPr>
        <w:spacing w:after="200"/>
      </w:pPr>
      <w:r>
        <w:rPr>
          <w:rFonts w:ascii="Arial" w:cs="Arial" w:eastAsia="Arial" w:hAnsi="Arial"/>
          <w:b/>
          <w:bCs/>
          <w:color w:val="2E75B6"/>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6" w:space="1"/>
        </w:pBdr>
        <w:spacing w:after="200" w:before="480"/>
      </w:pPr>
      <w:r>
        <w:rPr>
          <w:rFonts w:ascii="Arial" w:cs="Arial" w:eastAsia="Arial" w:hAnsi="Arial"/>
          <w:b/>
          <w:bCs/>
          <w:caps/>
          <w:color w:val="1E3A5F"/>
          <w:sz w:val="36"/>
          <w:szCs w:val="36"/>
        </w:rPr>
        <w:t xml:space="preserve">1.  Executive Summary</w:t>
      </w:r>
    </w:p>
    <w:p>
      <w:pPr>
        <w:spacing w:after="120" w:before="0"/>
        <w:jc w:val="both"/>
      </w:pPr>
      <w:r>
        <w:rPr>
          <w:rFonts w:ascii="Arial" w:cs="Arial" w:eastAsia="Arial" w:hAnsi="Arial"/>
          <w:b w:val="false"/>
          <w:bCs w:val="false"/>
          <w:i w:val="false"/>
          <w:iCs w:val="false"/>
          <w:color w:val="000000"/>
          <w:sz w:val="22"/>
          <w:szCs w:val="22"/>
        </w:rPr>
        <w:t xml:space="preserve">Human emotion is among the most elusive targets in applied machine learning: a latent psychological state that no sensor observes directly and that manifests only indirectly, through behaviour. This Model Development Document (MDD) presents the complete mathematical, algorithmic, and software-engineering architecture of NeuroSense — an AI-powered behavioural-emotion classification platform engineered to infer a social-media user's Dominant_Emotion (one of six discrete affective states — Happiness, Neutral, Anxiety, Sadness, Boredom, or Anger) from structured, non-textual engagement telemetry: demographic descriptors and daily platform-activity counters.</w:t>
      </w:r>
    </w:p>
    <w:p>
      <w:pPr>
        <w:spacing w:after="120" w:before="0"/>
        <w:jc w:val="both"/>
      </w:pPr>
      <w:r>
        <w:rPr>
          <w:rFonts w:ascii="Arial" w:cs="Arial" w:eastAsia="Arial" w:hAnsi="Arial"/>
          <w:b w:val="false"/>
          <w:bCs w:val="false"/>
          <w:i w:val="false"/>
          <w:iCs w:val="false"/>
          <w:color w:val="000000"/>
          <w:sz w:val="22"/>
          <w:szCs w:val="22"/>
        </w:rPr>
        <w:t xml:space="preserve">Developed as Capstone 3 for the Applied Data Science, Machine Learning and AI programme at E&amp;ICT Academy, IIT Guwahati, the system ingests three pre-partitioned CSV files (train.csv, val.csv, test.csv) drawn from the “Social Media Usage and Emotional Well-Being” dataset (Bulut, 2024), each row describing one user's Age, Gender, Platform, and five daily engagement counters (usage time, posts, likes received, comments received, messages sent) alongside a single labelled Dominant_Emotion. Unlike the sequential, single-variate forecasting problems addressed in earlier capstones, this is a cross-sectional, mixed-type, six-class classification problem: the feature space blends continuous counts, a bounded categorical Gender field, an unordered seven-way Platform field, and a nominal (non-ordinal) six-way psychological target — a fundamentally different statistical regime that rules out sequence models such as LSTM/GRU as the primary architecture and instead calls for a broad tournament of tabular classifiers.</w:t>
      </w:r>
    </w:p>
    <w:p>
      <w:pPr>
        <w:spacing w:after="120" w:before="0"/>
        <w:jc w:val="both"/>
      </w:pPr>
      <w:r>
        <w:rPr>
          <w:rFonts w:ascii="Arial" w:cs="Arial" w:eastAsia="Arial" w:hAnsi="Arial"/>
          <w:b w:val="false"/>
          <w:bCs w:val="false"/>
          <w:i w:val="false"/>
          <w:iCs w:val="false"/>
          <w:color w:val="000000"/>
          <w:sz w:val="22"/>
          <w:szCs w:val="22"/>
        </w:rPr>
        <w:t xml:space="preserve">The platform implements a six-stage advanced pipeline, executed as 25 discrete, independently re-runnable code blocks (capstone3_pipeline.py, 1,233 lines) followed by a production dashboard (app.py, 1,222 lines):</w:t>
      </w:r>
    </w:p>
    <w:p>
      <w:pPr>
        <w:pStyle w:val="ListParagraph"/>
        <w:numPr>
          <w:ilvl w:val="0"/>
          <w:numId w:val="1"/>
        </w:numPr>
        <w:spacing w:after="80"/>
        <w:jc w:val="both"/>
      </w:pPr>
      <w:r>
        <w:rPr>
          <w:rFonts w:ascii="Arial" w:cs="Arial" w:eastAsia="Arial" w:hAnsi="Arial"/>
          <w:sz w:val="22"/>
          <w:szCs w:val="22"/>
        </w:rPr>
        <w:t xml:space="preserve">Anomaly-Resilient Data Ingestion &amp; Cleansing: dynamic Local/Colab path resolution, on_bad_lines='skip' malformed-row rejection, and a five-stage cleaning cascade that repairs or removes seven distinct real-world anomaly types — including a Turkish-language text artefact, swapped Age/Gender columns, and a mislabelled target class (“Agression” → “Anger”) — with all imputation statistics drawn exclusively from the training partition to prevent leakage.</w:t>
      </w:r>
    </w:p>
    <w:p>
      <w:pPr>
        <w:pStyle w:val="ListParagraph"/>
        <w:numPr>
          <w:ilvl w:val="0"/>
          <w:numId w:val="1"/>
        </w:numPr>
        <w:spacing w:after="80"/>
        <w:jc w:val="both"/>
      </w:pPr>
      <w:r>
        <w:rPr>
          <w:rFonts w:ascii="Arial" w:cs="Arial" w:eastAsia="Arial" w:hAnsi="Arial"/>
          <w:sz w:val="22"/>
          <w:szCs w:val="22"/>
        </w:rPr>
        <w:t xml:space="preserve">Exploratory Behavioural Diagnostics: six dedicated analytical blocks covering class-imbalance auditing, continuous-feature KDE shift analysis, categorical cross-tabulation (Platform × Emotion, Gender × Emotion), bivariate separability scatter plots, skewness/kurtosis/outlier profiling, and unsupervised PCA variance clustering.</w:t>
      </w:r>
    </w:p>
    <w:p>
      <w:pPr>
        <w:pStyle w:val="ListParagraph"/>
        <w:numPr>
          <w:ilvl w:val="0"/>
          <w:numId w:val="1"/>
        </w:numPr>
        <w:spacing w:after="80"/>
        <w:jc w:val="both"/>
      </w:pPr>
      <w:r>
        <w:rPr>
          <w:rFonts w:ascii="Arial" w:cs="Arial" w:eastAsia="Arial" w:hAnsi="Arial"/>
          <w:sz w:val="22"/>
          <w:szCs w:val="22"/>
        </w:rPr>
        <w:t xml:space="preserve">Advanced Feature Engineering &amp; Leak-Safe Preprocessing: six derived behavioural-interaction features (Interaction Density, Social Velocity, Conversational Reciprocity, Attention Index, Engagement Ratio, Content Efficiency), one-hot encoding with strict train-schema realignment, a multicollinearity filter (Pearson r &gt; 0.85), and a StandardScaler fitted exclusively on the training partition.</w:t>
      </w:r>
    </w:p>
    <w:p>
      <w:pPr>
        <w:pStyle w:val="ListParagraph"/>
        <w:numPr>
          <w:ilvl w:val="0"/>
          <w:numId w:val="1"/>
        </w:numPr>
        <w:spacing w:after="80"/>
        <w:jc w:val="both"/>
      </w:pPr>
      <w:r>
        <w:rPr>
          <w:rFonts w:ascii="Arial" w:cs="Arial" w:eastAsia="Arial" w:hAnsi="Arial"/>
          <w:sz w:val="22"/>
          <w:szCs w:val="22"/>
        </w:rPr>
        <w:t xml:space="preserve">Multi-Paradigm Model Tournament: eight independently trained candidate models spanning three algorithmic families — classical bagging/linear (Random Forest, Logistic Regression), gradient boosting (CatBoost, LightGBM, XGBoost, each hyperparameter-tuned via 20-iteration 3-fold RandomizedSearchCV), and deep feedforward neural networks (a BatchNorm/Dropout-regularised MLP and a Swish-activated deep network) — combined by a ninth, soft-voting meta-ensemble of the top three classical/boosting performers.</w:t>
      </w:r>
    </w:p>
    <w:p>
      <w:pPr>
        <w:pStyle w:val="ListParagraph"/>
        <w:numPr>
          <w:ilvl w:val="0"/>
          <w:numId w:val="1"/>
        </w:numPr>
        <w:spacing w:after="80"/>
        <w:jc w:val="both"/>
      </w:pPr>
      <w:r>
        <w:rPr>
          <w:rFonts w:ascii="Arial" w:cs="Arial" w:eastAsia="Arial" w:hAnsi="Arial"/>
          <w:sz w:val="22"/>
          <w:szCs w:val="22"/>
        </w:rPr>
        <w:t xml:space="preserve">Explainable, Multi-Axis Evaluation: weighted and macro Accuracy/Precision/Recall/F1 on a held-out test partition, per-class classification reports, One-vs-Rest ROC-AUC and Precision-Recall curves across all six emotions, a normalised confusion matrix, version-agnostic SHAP TreeExplainer attribution, and 5-fold learning-curve bias/variance diagnostics.</w:t>
      </w:r>
    </w:p>
    <w:p>
      <w:pPr>
        <w:pStyle w:val="ListParagraph"/>
        <w:numPr>
          <w:ilvl w:val="0"/>
          <w:numId w:val="1"/>
        </w:numPr>
        <w:spacing w:after="80"/>
        <w:jc w:val="both"/>
      </w:pPr>
      <w:r>
        <w:rPr>
          <w:rFonts w:ascii="Arial" w:cs="Arial" w:eastAsia="Arial" w:hAnsi="Arial"/>
          <w:sz w:val="22"/>
          <w:szCs w:val="22"/>
        </w:rPr>
        <w:t xml:space="preserve">MLOps Serialisation &amp; Production Deployment: a unified ChampionModelWrapper class that exposes an identical .predict_proba() contract regardless of whether the champion is a tree model, a soft-vote ensemble, or a Keras network, deployed inside NeuroSense v3 — a six-tab, glassmorphism-styled Streamlit dashboard hosted on Streamlit Community Cloud.</w:t>
      </w:r>
    </w:p>
    <w:p>
      <w:pPr>
        <w:spacing w:after="120" w:before="0"/>
        <w:jc w:val="both"/>
      </w:pPr>
      <w:r>
        <w:rPr>
          <w:rFonts w:ascii="Arial" w:cs="Arial" w:eastAsia="Arial" w:hAnsi="Arial"/>
          <w:b w:val="false"/>
          <w:bCs w:val="false"/>
          <w:i w:val="false"/>
          <w:iCs w:val="false"/>
          <w:color w:val="000000"/>
          <w:sz w:val="22"/>
          <w:szCs w:val="22"/>
        </w:rPr>
        <w:t xml:space="preserve">Principal Outcome: the champion deployment model is selected empirically — the candidate with the highest weighted F1-Score on the independently-supplied, held-out test.csv partition (Block 19) is crowned automatically and serialised, together with its fitted StandardScaler, LabelEncoder, and a comprehensive metadata dictionary, into five artefacts (champion_model.pkl/.keras, scaler.pkl, encoder.pkl, pipeline_metadata.pkl, best_tree_model.pkl) for fully stateless cloud inference. The production application — NeuroSense v3 — delivers six analytics modules (Predict, Batch, Performance, Feature Lab, What-If Simulator, About), Plotly-driven interactive visualisation, live SHAP explainability, and a sensitivity-sweep simulator. The live platform is accessible at:</w:t>
      </w:r>
    </w:p>
    <w:p>
      <w:pPr>
        <w:spacing w:after="200" w:before="0"/>
        <w:jc w:val="center"/>
      </w:pPr>
      <w:r>
        <w:rPr>
          <w:rFonts w:ascii="Arial" w:cs="Arial" w:eastAsia="Arial" w:hAnsi="Arial"/>
          <w:b/>
          <w:bCs/>
          <w:i w:val="false"/>
          <w:iCs w:val="false"/>
          <w:color w:val="2E75B6"/>
          <w:sz w:val="22"/>
          <w:szCs w:val="22"/>
        </w:rPr>
        <w:t xml:space="preserve">https://sentinet-social-11.streamlit.app/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5E8F0" w:color="auto" w:val="clear"/>
            <w:tcMar>
              <w:top w:type="dxa" w:w="120"/>
              <w:left w:type="dxa" w:w="160"/>
              <w:bottom w:type="dxa" w:w="120"/>
              <w:right w:type="dxa" w:w="160"/>
            </w:tcMar>
          </w:tcPr>
          <w:p>
            <w:pPr>
              <w:spacing w:after="60"/>
            </w:pPr>
            <w:r>
              <w:rPr>
                <w:rFonts w:ascii="Arial" w:cs="Arial" w:eastAsia="Arial" w:hAnsi="Arial"/>
                <w:b/>
                <w:bCs/>
                <w:i/>
                <w:iCs/>
                <w:color w:val="2E75B6"/>
                <w:sz w:val="20"/>
                <w:szCs w:val="20"/>
              </w:rPr>
              <w:t xml:space="preserve">▸ Methodological Note — Runtime-Populated Results.</w:t>
            </w:r>
          </w:p>
          <w:p>
            <w:pPr>
              <w:spacing w:after="40"/>
              <w:jc w:val="both"/>
            </w:pPr>
            <w:r>
              <w:rPr>
                <w:rFonts w:ascii="Arial" w:cs="Arial" w:eastAsia="Arial" w:hAnsi="Arial"/>
                <w:i/>
                <w:iCs/>
                <w:color w:val="1E3A5F"/>
                <w:sz w:val="20"/>
                <w:szCs w:val="20"/>
              </w:rPr>
              <w:t xml:space="preserve">This MDD documents the complete, deterministic pipeline architecture exactly as implemented in capstone3_pipeline.py (Blocks 1–24) and app.py (Block 25) — every formula, hyperparameter grid, callback configuration, anomaly location, and code path in this document is reproduced verbatim from source. The specific numeric outcomes that depend on the stochastic training run against the proprietary train.csv / val.csv / test.csv partitions — the identity of the Champion Model, exact per-model Accuracy/Precision/Recall/F1 values, confusion-matrix cell counts, and SHAP attribution magnitudes — are computed automatically by Blocks 19, 20, 22 and 24 every time the pipeline is executed, and are persisted to pipeline_metadata.pkl for the Streamlit application to render live.</w:t>
            </w:r>
          </w:p>
          <w:p>
            <w:pPr>
              <w:spacing w:after="40"/>
              <w:jc w:val="both"/>
            </w:pPr>
            <w:r>
              <w:rPr>
                <w:rFonts w:ascii="Arial" w:cs="Arial" w:eastAsia="Arial" w:hAnsi="Arial"/>
                <w:i/>
                <w:iCs/>
                <w:color w:val="1E3A5F"/>
                <w:sz w:val="20"/>
                <w:szCs w:val="20"/>
              </w:rPr>
              <w:t xml:space="preserve">Section 8 reproduces the exact schema, ranking logic, and selection rule those blocks apply. Cells that depend on the executed run are presented as empirical-rank descriptors rather than invented figures; they should be cross-checked against — or transcribed from — the Colab console output or pipeline_metadata.pkl of your own executed run before final academic submission.</w:t>
            </w:r>
          </w:p>
        </w:tc>
      </w:tr>
    </w:tbl>
    <w:p>
      <w:pPr>
        <w:spacing w:after="140"/>
      </w:pPr>
    </w:p>
    <w:p>
      <w:pPr>
        <w:pStyle w:val="Heading1"/>
        <w:pBdr>
          <w:bottom w:val="single" w:color="2E75B6" w:sz="6" w:space="1"/>
        </w:pBdr>
        <w:spacing w:after="200" w:before="480"/>
      </w:pPr>
      <w:r>
        <w:rPr>
          <w:rFonts w:ascii="Arial" w:cs="Arial" w:eastAsia="Arial" w:hAnsi="Arial"/>
          <w:b/>
          <w:bCs/>
          <w:caps/>
          <w:color w:val="1E3A5F"/>
          <w:sz w:val="36"/>
          <w:szCs w:val="36"/>
        </w:rPr>
        <w:t xml:space="preserve">2.  Problem Statement &amp; Objective Definition</w:t>
      </w:r>
    </w:p>
    <w:p>
      <w:pPr>
        <w:pStyle w:val="Heading2"/>
        <w:spacing w:after="140" w:before="320"/>
      </w:pPr>
      <w:r>
        <w:rPr>
          <w:rFonts w:ascii="Arial" w:cs="Arial" w:eastAsia="Arial" w:hAnsi="Arial"/>
          <w:b/>
          <w:bCs/>
          <w:color w:val="2E75B6"/>
          <w:sz w:val="28"/>
          <w:szCs w:val="28"/>
        </w:rPr>
        <w:t xml:space="preserve">2.1  The Classification Challenge</w:t>
      </w:r>
    </w:p>
    <w:p>
      <w:pPr>
        <w:spacing w:after="120" w:before="0"/>
        <w:jc w:val="both"/>
      </w:pPr>
      <w:r>
        <w:rPr>
          <w:rFonts w:ascii="Arial" w:cs="Arial" w:eastAsia="Arial" w:hAnsi="Arial"/>
          <w:b w:val="false"/>
          <w:bCs w:val="false"/>
          <w:i w:val="false"/>
          <w:iCs w:val="false"/>
          <w:color w:val="000000"/>
          <w:sz w:val="22"/>
          <w:szCs w:val="22"/>
        </w:rPr>
        <w:t xml:space="preserve">Behavioural emotion inference from tabular engagement telemetry is a materially different problem from the sequential temperature-forecasting task addressed in earlier capstone work. It possesses the following structural properties that jointly rule out naive modelling approaches:</w:t>
      </w:r>
    </w:p>
    <w:p>
      <w:pPr>
        <w:pStyle w:val="ListParagraph"/>
        <w:numPr>
          <w:ilvl w:val="0"/>
          <w:numId w:val="1"/>
        </w:numPr>
        <w:spacing w:after="80"/>
        <w:jc w:val="both"/>
      </w:pPr>
      <w:r>
        <w:rPr>
          <w:rFonts w:ascii="Arial" w:cs="Arial" w:eastAsia="Arial" w:hAnsi="Arial"/>
          <w:sz w:val="22"/>
          <w:szCs w:val="22"/>
        </w:rPr>
        <w:t xml:space="preserve">Mixed-Type, Cross-Sectional Feature Space: eight raw predictors span continuous engagement counts (Daily_Usage_Time, Posts_Per_Day, Likes_Received_Per_Day, Comments_Received_Per_Day, Messages_Sent_Per_Day), a bounded ordinal-like numeric (Age), and two unordered categoricals (Gender ∈ {Male, Female, Non-binary}; Platform ∈ {Instagram, Twitter, Facebook, LinkedIn, Snapchat, Telegram, Whatsapp}) — a fundamentally tabular problem with no temporal ordering between rows.</w:t>
      </w:r>
    </w:p>
    <w:p>
      <w:pPr>
        <w:pStyle w:val="ListParagraph"/>
        <w:numPr>
          <w:ilvl w:val="0"/>
          <w:numId w:val="1"/>
        </w:numPr>
        <w:spacing w:after="80"/>
        <w:jc w:val="both"/>
      </w:pPr>
      <w:r>
        <w:rPr>
          <w:rFonts w:ascii="Arial" w:cs="Arial" w:eastAsia="Arial" w:hAnsi="Arial"/>
          <w:sz w:val="22"/>
          <w:szCs w:val="22"/>
        </w:rPr>
        <w:t xml:space="preserve">Six-Way Nominal Multi-Class Target: Dominant_Emotion ∈ {Happiness, Neutral, Anxiety, Sadness, Boredom, Anger} is a non-ordinal psychological label. A model cannot exploit an ordinal loss (unlike, say, star-rating prediction); it must learn six mutually exclusive decision boundaries simultaneously, and single-number binary metrics are insufficient — evaluation requires One-vs-Rest decomposition and both weighted- and macro-averaged multi-class metrics.</w:t>
      </w:r>
    </w:p>
    <w:p>
      <w:pPr>
        <w:pStyle w:val="ListParagraph"/>
        <w:numPr>
          <w:ilvl w:val="0"/>
          <w:numId w:val="1"/>
        </w:numPr>
        <w:spacing w:after="80"/>
        <w:jc w:val="both"/>
      </w:pPr>
      <w:r>
        <w:rPr>
          <w:rFonts w:ascii="Arial" w:cs="Arial" w:eastAsia="Arial" w:hAnsi="Arial"/>
          <w:sz w:val="22"/>
          <w:szCs w:val="22"/>
        </w:rPr>
        <w:t xml:space="preserve">Latent Construct, Observable Proxy: emotion is never measured directly by any instrument in this dataset. Dominant_Emotion is a single categorical annotation attached to a user-day snapshot of behaviour. The model therefore learns a statistical association between engagement telemetry and a labelled affective state — not a validated causal or physiological ground truth. This is a first-order epistemic constraint that shapes every downstream claim this MDD makes about “accuracy,” and is revisited formally in Section 11.</w:t>
      </w:r>
    </w:p>
    <w:p>
      <w:pPr>
        <w:pStyle w:val="ListParagraph"/>
        <w:numPr>
          <w:ilvl w:val="0"/>
          <w:numId w:val="1"/>
        </w:numPr>
        <w:spacing w:after="80"/>
        <w:jc w:val="both"/>
      </w:pPr>
      <w:r>
        <w:rPr>
          <w:rFonts w:ascii="Arial" w:cs="Arial" w:eastAsia="Arial" w:hAnsi="Arial"/>
          <w:sz w:val="22"/>
          <w:szCs w:val="22"/>
        </w:rPr>
        <w:t xml:space="preserve">Potential Class Imbalance: the six emotions are unlikely to be uniformly distributed in a naturalistic (or synthetically generated) sample; every model in the tournament is therefore instrumented with class-balancing machinery (class_weight='balanced', auto_class_weights='Balanced', or compute_sample_weight('balanced', …)) rather than assuming a uniform prior.</w:t>
      </w:r>
    </w:p>
    <w:p>
      <w:pPr>
        <w:pStyle w:val="ListParagraph"/>
        <w:numPr>
          <w:ilvl w:val="0"/>
          <w:numId w:val="1"/>
        </w:numPr>
        <w:spacing w:after="80"/>
        <w:jc w:val="both"/>
      </w:pPr>
      <w:r>
        <w:rPr>
          <w:rFonts w:ascii="Arial" w:cs="Arial" w:eastAsia="Arial" w:hAnsi="Arial"/>
          <w:sz w:val="22"/>
          <w:szCs w:val="22"/>
        </w:rPr>
        <w:t xml:space="preserve">Adversarial Real-World Data Quality: the raw CSVs contain seven distinct, independently discovered anomaly types — malformed rows, swapped columns, a foreign-language text artefact, and a misspelled target label — spread unevenly across the three partitions. A naive pd.read_csv() call is provably insufficient; a resilient, multi-stage ingestion engine is a prerequisite for any credible modelling attempt (Section 3.2).</w:t>
      </w:r>
    </w:p>
    <w:p>
      <w:pPr>
        <w:pStyle w:val="Heading2"/>
        <w:spacing w:after="140" w:before="320"/>
      </w:pPr>
      <w:r>
        <w:rPr>
          <w:rFonts w:ascii="Arial" w:cs="Arial" w:eastAsia="Arial" w:hAnsi="Arial"/>
          <w:b/>
          <w:bCs/>
          <w:color w:val="2E75B6"/>
          <w:sz w:val="28"/>
          <w:szCs w:val="28"/>
        </w:rPr>
        <w:t xml:space="preserve">2.2  The Analytical Objective</w:t>
      </w:r>
    </w:p>
    <w:p>
      <w:pPr>
        <w:spacing w:after="120" w:before="0"/>
        <w:jc w:val="both"/>
      </w:pPr>
      <w:r>
        <w:rPr>
          <w:rFonts w:ascii="Arial" w:cs="Arial" w:eastAsia="Arial" w:hAnsi="Arial"/>
          <w:b w:val="false"/>
          <w:bCs w:val="false"/>
          <w:i w:val="false"/>
          <w:iCs w:val="false"/>
          <w:color w:val="000000"/>
          <w:sz w:val="22"/>
          <w:szCs w:val="22"/>
        </w:rPr>
        <w:t xml:space="preserve">The core objective is to engineer a deterministic, data-driven classification pipeline that predicts Dominant_Emotion(u) — the dominant emotional state reported for user-session u — as a function of eight raw behavioural/demographic predictors and six additionally engineered behavioural-interaction ratios, selecting among eight architecturally distinct candidate models (plus a ninth soft-vote ensemble) the single champion that maximises generalisation performance on data withheld from every stage of training and hyperparameter search.</w:t>
      </w:r>
    </w:p>
    <w:p>
      <w:pPr>
        <w:spacing w:after="60"/>
      </w:pPr>
    </w:p>
    <w:p>
      <w:pPr>
        <w:spacing w:after="40" w:before="0"/>
        <w:jc w:val="both"/>
      </w:pPr>
      <w:r>
        <w:rPr>
          <w:rFonts w:ascii="Arial" w:cs="Arial" w:eastAsia="Arial" w:hAnsi="Arial"/>
          <w:b/>
          <w:bCs/>
          <w:i w:val="false"/>
          <w:iCs w:val="false"/>
          <w:color w:val="000000"/>
          <w:sz w:val="22"/>
          <w:szCs w:val="22"/>
        </w:rPr>
        <w:t xml:space="preserve">Key Performance Indicators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vAlign w:val="center"/>
          </w:tcPr>
          <w:p>
            <w:r>
              <w:rPr>
                <w:rFonts w:ascii="Arial" w:cs="Arial" w:eastAsia="Arial" w:hAnsi="Arial"/>
                <w:b/>
                <w:bCs/>
                <w:color w:val="1E3A5F"/>
                <w:sz w:val="20"/>
                <w:szCs w:val="20"/>
              </w:rPr>
              <w:t xml:space="preserve">KPI</w:t>
            </w:r>
          </w:p>
        </w:tc>
        <w:tc>
          <w:tcPr>
            <w:tcW w:type="dxa" w:w="696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vAlign w:val="center"/>
          </w:tcPr>
          <w:p>
            <w:r>
              <w:rPr>
                <w:rFonts w:ascii="Arial" w:cs="Arial" w:eastAsia="Arial" w:hAnsi="Arial"/>
                <w:b/>
                <w:bCs/>
                <w:color w:val="1E3A5F"/>
                <w:sz w:val="20"/>
                <w:szCs w:val="20"/>
              </w:rPr>
              <w:t xml:space="preserve">Definition &amp; Target</w:t>
            </w:r>
          </w:p>
        </w:tc>
      </w:tr>
      <w:tr>
        <w:tc>
          <w:tcPr>
            <w:tcW w:type="dxa" w:w="2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Primary — Weighted F1-Score</w:t>
            </w:r>
          </w:p>
        </w:tc>
        <w:tc>
          <w:tcPr>
            <w:tcW w:type="dxa" w:w="69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Harmonic mean of precision and recall, computed per class and averaged with weights proportional to class support, on the held-out test partition. This is the exact criterion Block 19 uses to rank all 8 candidates and crown champion_name — it rewards overall predictive accuracy while remaining sensitive to class imbalance.</w:t>
            </w:r>
          </w:p>
        </w:tc>
      </w:tr>
      <w:tr>
        <w:tc>
          <w:tcPr>
            <w:tcW w:type="dxa" w:w="2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Secondary — Macro F1-Score</w:t>
            </w:r>
          </w:p>
        </w:tc>
        <w:tc>
          <w:tcPr>
            <w:tcW w:type="dxa" w:w="69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Unweighted arithmetic mean of per-class F1. Penalises any model that buys majority-class accuracy (e.g., a dominant Neutral/Happiness class) at the expense of minority emotions such as Boredom or Anger — critical in a psychological-state application where every affective category carries equal analytical importance regardless of its base rate.</w:t>
            </w:r>
          </w:p>
        </w:tc>
      </w:tr>
      <w:tr>
        <w:tc>
          <w:tcPr>
            <w:tcW w:type="dxa" w:w="2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Tertiary — Per-Class Precision / Recall</w:t>
            </w:r>
          </w:p>
        </w:tc>
        <w:tc>
          <w:tcPr>
            <w:tcW w:type="dxa" w:w="69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classification_report() output (Block 20, digits=4) isolating exactly which of the six emotions the champion confuses — e.g., adjacent low-arousal states such as Boredom and Neutral are hypothesised a priori to be the hardest pair to separate (Section 8.3).</w:t>
            </w:r>
          </w:p>
        </w:tc>
      </w:tr>
      <w:tr>
        <w:tc>
          <w:tcPr>
            <w:tcW w:type="dxa" w:w="2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Explainability — SHAP Mean |Value|</w:t>
            </w:r>
          </w:p>
        </w:tc>
        <w:tc>
          <w:tcPr>
            <w:tcW w:type="dxa" w:w="69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TreeExplainer-derived per-feature attribution (Block 22), ensuring the champion's decision logic is auditable rather than an opaque black box — an explicit design requirement given the sensitivity of inferring emotional state from behavioural metadata (Section 11.3).</w:t>
            </w:r>
          </w:p>
        </w:tc>
      </w:tr>
      <w:tr>
        <w:tc>
          <w:tcPr>
            <w:tcW w:type="dxa" w:w="2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Operational — Inference Responsiveness</w:t>
            </w:r>
          </w:p>
        </w:tc>
        <w:tc>
          <w:tcPr>
            <w:tcW w:type="dxa" w:w="69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The end-to-end app.py inference path (_build() feature assembly → StandardScaler.transform() → ChampionModelWrapper.predict_proba()) is a single vectorised forward pass over at most 22 features with no I/O in the request path; combined with @st.cache_resource artefact caching, the design target is sub-second response inside the reactive Streamlit UI.</w:t>
            </w:r>
          </w:p>
        </w:tc>
      </w:tr>
    </w:tbl>
    <w:p>
      <w:pPr>
        <w:spacing w:after="140"/>
      </w:pPr>
    </w:p>
    <w:p>
      <w:pPr>
        <w:pStyle w:val="Heading1"/>
        <w:pBdr>
          <w:bottom w:val="single" w:color="2E75B6" w:sz="6" w:space="1"/>
        </w:pBdr>
        <w:spacing w:after="200" w:before="480"/>
      </w:pPr>
      <w:r>
        <w:rPr>
          <w:rFonts w:ascii="Arial" w:cs="Arial" w:eastAsia="Arial" w:hAnsi="Arial"/>
          <w:b/>
          <w:bCs/>
          <w:caps/>
          <w:color w:val="1E3A5F"/>
          <w:sz w:val="36"/>
          <w:szCs w:val="36"/>
        </w:rPr>
        <w:t xml:space="preserve">3.  Data Governance &amp; Architecture</w:t>
      </w:r>
    </w:p>
    <w:p>
      <w:pPr>
        <w:pStyle w:val="Heading2"/>
        <w:spacing w:after="140" w:before="320"/>
      </w:pPr>
      <w:r>
        <w:rPr>
          <w:rFonts w:ascii="Arial" w:cs="Arial" w:eastAsia="Arial" w:hAnsi="Arial"/>
          <w:b/>
          <w:bCs/>
          <w:color w:val="2E75B6"/>
          <w:sz w:val="28"/>
          <w:szCs w:val="28"/>
        </w:rPr>
        <w:t xml:space="preserve">3.1  Dataset Pedigree, Dimensionality &amp; Data Quality</w:t>
      </w:r>
    </w:p>
    <w:p>
      <w:pPr>
        <w:spacing w:after="120" w:before="0"/>
        <w:jc w:val="both"/>
      </w:pPr>
      <w:r>
        <w:rPr>
          <w:rFonts w:ascii="Arial" w:cs="Arial" w:eastAsia="Arial" w:hAnsi="Arial"/>
          <w:b w:val="false"/>
          <w:bCs w:val="false"/>
          <w:i w:val="false"/>
          <w:iCs w:val="false"/>
          <w:color w:val="000000"/>
          <w:sz w:val="22"/>
          <w:szCs w:val="22"/>
        </w:rPr>
        <w:t xml:space="preserve">The foundational corpus is the “Social Media Usage and Emotional Well-Being” dataset, originally compiled and published by Emirhan Bulut on Kaggle (Bulut, 2024), and supplied to this project as three pre-partitioned files — train.csv, val.csv, and test.csv — each sharing an identical ten-column schema. Every record captures one user's demographic descriptors together with same-day social-media engagement counters and a single dominant-emotion label.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vAlign w:val="center"/>
          </w:tcPr>
          <w:p>
            <w:r>
              <w:rPr>
                <w:rFonts w:ascii="Arial" w:cs="Arial" w:eastAsia="Arial" w:hAnsi="Arial"/>
                <w:b/>
                <w:bCs/>
                <w:color w:val="1E3A5F"/>
                <w:sz w:val="20"/>
                <w:szCs w:val="20"/>
              </w:rPr>
              <w:t xml:space="preserve">Property</w:t>
            </w:r>
          </w:p>
        </w:tc>
        <w:tc>
          <w:tcPr>
            <w:tcW w:type="dxa" w:w="676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vAlign w:val="center"/>
          </w:tcPr>
          <w:p>
            <w:r>
              <w:rPr>
                <w:rFonts w:ascii="Arial" w:cs="Arial" w:eastAsia="Arial" w:hAnsi="Arial"/>
                <w:b/>
                <w:bCs/>
                <w:color w:val="1E3A5F"/>
                <w:sz w:val="20"/>
                <w:szCs w:val="20"/>
              </w:rPr>
              <w:t xml:space="preserve">Details</w:t>
            </w:r>
          </w:p>
        </w:tc>
      </w:tr>
      <w:tr>
        <w:tc>
          <w:tcPr>
            <w:tcW w:type="dxa" w:w="26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Partitions</w:t>
            </w:r>
          </w:p>
        </w:tc>
        <w:tc>
          <w:tcPr>
            <w:tcW w:type="dxa" w:w="67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Three independently supplied CSVs: train.csv (model fitting + hyperparameter search), val.csv (champion/ensemble selection, early-stopping), test.csv (final held-out evaluation, Section 8). Exact row counts are printed by Block 2 at ingestion time (“{name}: {initial} → {cleaned} rows” for each split) and persisted in the Colab console log — see the Methodological Note in Section 1.</w:t>
            </w:r>
          </w:p>
        </w:tc>
      </w:tr>
      <w:tr>
        <w:tc>
          <w:tcPr>
            <w:tcW w:type="dxa" w:w="26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Raw Columns (10)</w:t>
            </w:r>
          </w:p>
        </w:tc>
        <w:tc>
          <w:tcPr>
            <w:tcW w:type="dxa" w:w="67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User_ID, Age, Gender, Platform, Daily_Usage_Time (minutes), Posts_Per_Day, Likes_Received_Per_Day, Comments_Received_Per_Day, Messages_Sent_Per_Day, Dominant_Emotion.</w:t>
            </w:r>
          </w:p>
        </w:tc>
      </w:tr>
      <w:tr>
        <w:tc>
          <w:tcPr>
            <w:tcW w:type="dxa" w:w="26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Target Cardinality</w:t>
            </w:r>
          </w:p>
        </w:tc>
        <w:tc>
          <w:tcPr>
            <w:tcW w:type="dxa" w:w="67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6 classes — Happiness, Neutral, Anxiety, Sadness, Boredom, Anger (VALID_EMOTIONS, Block 2).</w:t>
            </w:r>
          </w:p>
        </w:tc>
      </w:tr>
      <w:tr>
        <w:tc>
          <w:tcPr>
            <w:tcW w:type="dxa" w:w="26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Gender Domain (closed)</w:t>
            </w:r>
          </w:p>
        </w:tc>
        <w:tc>
          <w:tcPr>
            <w:tcW w:type="dxa" w:w="67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3 valid values — Male, Female, Non-binary (VALID_GENDERS, Block 2). Any other observed value is treated as an anomaly and filtered.</w:t>
            </w:r>
          </w:p>
        </w:tc>
      </w:tr>
      <w:tr>
        <w:tc>
          <w:tcPr>
            <w:tcW w:type="dxa" w:w="26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Platform Domain (closed)</w:t>
            </w:r>
          </w:p>
        </w:tc>
        <w:tc>
          <w:tcPr>
            <w:tcW w:type="dxa" w:w="67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7 valid values — Instagram, Twitter, Facebook, LinkedIn, Snapchat, Telegram, Whatsapp (VALID_PLATFORMS, Block 2).</w:t>
            </w:r>
          </w:p>
        </w:tc>
      </w:tr>
      <w:tr>
        <w:tc>
          <w:tcPr>
            <w:tcW w:type="dxa" w:w="26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Identifier</w:t>
            </w:r>
          </w:p>
        </w:tc>
        <w:tc>
          <w:tcPr>
            <w:tcW w:type="dxa" w:w="67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User_ID — retained through cleaning for traceability, then explicitly dropped before modelling (Block 2, Stage 5) as a non-predictive anchor column.</w:t>
            </w:r>
          </w:p>
        </w:tc>
      </w:tr>
      <w:tr>
        <w:tc>
          <w:tcPr>
            <w:tcW w:type="dxa" w:w="26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Known Data-Quality Anomalies</w:t>
            </w:r>
          </w:p>
        </w:tc>
        <w:tc>
          <w:tcPr>
            <w:tcW w:type="dxa" w:w="67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7 distinct types, catalogued and resolved in Section 3.2 — spanning malformed rows, swapped columns, a non-English text artefact, and a mislabelled target class.</w:t>
            </w:r>
          </w:p>
        </w:tc>
      </w:tr>
    </w:tbl>
    <w:p>
      <w:pPr>
        <w:spacing w:after="140"/>
      </w:pPr>
    </w:p>
    <w:p>
      <w:pPr>
        <w:pStyle w:val="Heading2"/>
        <w:spacing w:after="140" w:before="320"/>
      </w:pPr>
      <w:r>
        <w:rPr>
          <w:rFonts w:ascii="Arial" w:cs="Arial" w:eastAsia="Arial" w:hAnsi="Arial"/>
          <w:b/>
          <w:bCs/>
          <w:color w:val="2E75B6"/>
          <w:sz w:val="28"/>
          <w:szCs w:val="28"/>
        </w:rPr>
        <w:t xml:space="preserve">3.2  Data Cleansing &amp; Ingestion Protocol (Block 2)</w:t>
      </w:r>
    </w:p>
    <w:p>
      <w:pPr>
        <w:spacing w:after="120" w:before="0"/>
        <w:jc w:val="both"/>
      </w:pPr>
      <w:r>
        <w:rPr>
          <w:rFonts w:ascii="Arial" w:cs="Arial" w:eastAsia="Arial" w:hAnsi="Arial"/>
          <w:b w:val="false"/>
          <w:bCs w:val="false"/>
          <w:i w:val="false"/>
          <w:iCs w:val="false"/>
          <w:color w:val="000000"/>
          <w:sz w:val="22"/>
          <w:szCs w:val="22"/>
        </w:rPr>
        <w:t xml:space="preserve">A naïve pd.read_csv() call fails or silently corrupts this corpus. The pipeline instead implements a dynamic-path, multi-stage anomaly-resilient ingestion engine that (a) auto-detects whether it is running locally or inside Google Colab, (b) rejects malformed rows at parse time, and (c) applies five ordered cleaning stages before any statistic is computed: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BF4FB" w:color="auto" w:val="clear"/>
            <w:tcMar>
              <w:top w:type="dxa" w:w="100"/>
              <w:left w:type="dxa" w:w="140"/>
              <w:bottom w:type="dxa" w:w="100"/>
              <w:right w:type="dxa" w:w="140"/>
            </w:tcMar>
          </w:tcPr>
          <w:p>
            <w:pPr>
              <w:spacing w:after="40"/>
            </w:pPr>
            <w:r>
              <w:rPr>
                <w:rFonts w:ascii="Courier New" w:cs="Courier New" w:eastAsia="Courier New" w:hAnsi="Courier New"/>
                <w:color w:val="1E3A5F"/>
                <w:sz w:val="20"/>
                <w:szCs w:val="20"/>
              </w:rPr>
              <w:t xml:space="preserve">VALID_GENDERS   = {'Male', 'Female', 'Non-binary'}</w:t>
            </w:r>
          </w:p>
          <w:p>
            <w:pPr>
              <w:spacing w:after="40"/>
            </w:pPr>
            <w:r>
              <w:rPr>
                <w:rFonts w:ascii="Courier New" w:cs="Courier New" w:eastAsia="Courier New" w:hAnsi="Courier New"/>
                <w:color w:val="1E3A5F"/>
                <w:sz w:val="20"/>
                <w:szCs w:val="20"/>
              </w:rPr>
              <w:t xml:space="preserve">VALID_PLATFORMS = {'Instagram', 'Twitter', 'Facebook', 'LinkedIn',</w:t>
            </w:r>
          </w:p>
          <w:p>
            <w:pPr>
              <w:spacing w:after="40"/>
            </w:pPr>
            <w:r>
              <w:rPr>
                <w:rFonts w:ascii="Courier New" w:cs="Courier New" w:eastAsia="Courier New" w:hAnsi="Courier New"/>
                <w:color w:val="1E3A5F"/>
                <w:sz w:val="20"/>
                <w:szCs w:val="20"/>
              </w:rPr>
              <w:t xml:space="preserve">                   'Snapchat', 'Telegram', 'Whatsapp'}</w:t>
            </w:r>
          </w:p>
          <w:p>
            <w:pPr>
              <w:spacing w:after="40"/>
            </w:pPr>
            <w:r>
              <w:rPr>
                <w:rFonts w:ascii="Courier New" w:cs="Courier New" w:eastAsia="Courier New" w:hAnsi="Courier New"/>
                <w:color w:val="1E3A5F"/>
                <w:sz w:val="20"/>
                <w:szCs w:val="20"/>
              </w:rPr>
              <w:t xml:space="preserve">NUMERIC_COLS    = ['Age', 'Daily_Usage_Time (minutes)', 'Posts_Per_Day',</w:t>
            </w:r>
          </w:p>
          <w:p>
            <w:pPr>
              <w:spacing w:after="40"/>
            </w:pPr>
            <w:r>
              <w:rPr>
                <w:rFonts w:ascii="Courier New" w:cs="Courier New" w:eastAsia="Courier New" w:hAnsi="Courier New"/>
                <w:color w:val="1E3A5F"/>
                <w:sz w:val="20"/>
                <w:szCs w:val="20"/>
              </w:rPr>
              <w:t xml:space="preserve">                   'Likes_Received_Per_Day', 'Comments_Received_Per_Day',</w:t>
            </w:r>
          </w:p>
          <w:p>
            <w:pPr>
              <w:spacing w:after="40"/>
            </w:pPr>
            <w:r>
              <w:rPr>
                <w:rFonts w:ascii="Courier New" w:cs="Courier New" w:eastAsia="Courier New" w:hAnsi="Courier New"/>
                <w:color w:val="1E3A5F"/>
                <w:sz w:val="20"/>
                <w:szCs w:val="20"/>
              </w:rPr>
              <w:t xml:space="preserve">                   'Messages_Sent_Per_Day']</w:t>
            </w:r>
          </w:p>
          <w:p>
            <w:pPr>
              <w:spacing w:after="40"/>
            </w:pPr>
            <w:r>
              <w:rPr>
                <w:rFonts w:ascii="Courier New" w:cs="Courier New" w:eastAsia="Courier New" w:hAnsi="Courier New"/>
                <w:color w:val="1E3A5F"/>
                <w:sz w:val="20"/>
                <w:szCs w:val="20"/>
              </w:rPr>
              <w:t xml:space="preserve"/>
            </w:r>
          </w:p>
          <w:p>
            <w:pPr>
              <w:spacing w:after="40"/>
            </w:pPr>
            <w:r>
              <w:rPr>
                <w:rFonts w:ascii="Courier New" w:cs="Courier New" w:eastAsia="Courier New" w:hAnsi="Courier New"/>
                <w:color w:val="1E3A5F"/>
                <w:sz w:val="20"/>
                <w:szCs w:val="20"/>
              </w:rPr>
              <w:t xml:space="preserve">train_raw = pd.read_csv(DATA_DIR/'train.csv', on_bad_lines='skip',</w:t>
            </w:r>
          </w:p>
          <w:p>
            <w:pPr>
              <w:spacing w:after="40"/>
            </w:pPr>
            <w:r>
              <w:rPr>
                <w:rFonts w:ascii="Courier New" w:cs="Courier New" w:eastAsia="Courier New" w:hAnsi="Courier New"/>
                <w:color w:val="1E3A5F"/>
                <w:sz w:val="20"/>
                <w:szCs w:val="20"/>
              </w:rPr>
              <w:t xml:space="preserve">                         skip_blank_lines=True)</w:t>
            </w:r>
          </w:p>
          <w:p>
            <w:pPr>
              <w:spacing w:after="40"/>
            </w:pPr>
            <w:r>
              <w:rPr>
                <w:rFonts w:ascii="Courier New" w:cs="Courier New" w:eastAsia="Courier New" w:hAnsi="Courier New"/>
                <w:color w:val="1E3A5F"/>
                <w:sz w:val="20"/>
                <w:szCs w:val="20"/>
              </w:rPr>
              <w:t xml:space="preserve"/>
            </w:r>
          </w:p>
          <w:p>
            <w:pPr>
              <w:spacing w:after="40"/>
            </w:pPr>
            <w:r>
              <w:rPr>
                <w:rFonts w:ascii="Courier New" w:cs="Courier New" w:eastAsia="Courier New" w:hAnsi="Courier New"/>
                <w:color w:val="1E3A5F"/>
                <w:sz w:val="20"/>
                <w:szCs w:val="20"/>
              </w:rPr>
              <w:t xml:space="preserve"># Stage 1: Coerce numeric cols → NaN for non-numeric values</w:t>
            </w:r>
          </w:p>
          <w:p>
            <w:pPr>
              <w:spacing w:after="40"/>
            </w:pPr>
            <w:r>
              <w:rPr>
                <w:rFonts w:ascii="Courier New" w:cs="Courier New" w:eastAsia="Courier New" w:hAnsi="Courier New"/>
                <w:color w:val="1E3A5F"/>
                <w:sz w:val="20"/>
                <w:szCs w:val="20"/>
              </w:rPr>
              <w:t xml:space="preserve">#          (catches swapped Age/Gender rows)</w:t>
            </w:r>
          </w:p>
          <w:p>
            <w:pPr>
              <w:spacing w:after="40"/>
            </w:pPr>
            <w:r>
              <w:rPr>
                <w:rFonts w:ascii="Courier New" w:cs="Courier New" w:eastAsia="Courier New" w:hAnsi="Courier New"/>
                <w:color w:val="1E3A5F"/>
                <w:sz w:val="20"/>
                <w:szCs w:val="20"/>
              </w:rPr>
              <w:t xml:space="preserve">for col in NUMERIC_COLS:</w:t>
            </w:r>
          </w:p>
          <w:p>
            <w:pPr>
              <w:spacing w:after="40"/>
            </w:pPr>
            <w:r>
              <w:rPr>
                <w:rFonts w:ascii="Courier New" w:cs="Courier New" w:eastAsia="Courier New" w:hAnsi="Courier New"/>
                <w:color w:val="1E3A5F"/>
                <w:sz w:val="20"/>
                <w:szCs w:val="20"/>
              </w:rPr>
              <w:t xml:space="preserve">    df[col] = pd.to_numeric(df[col], errors='coerce')</w:t>
            </w:r>
          </w:p>
          <w:p>
            <w:pPr>
              <w:spacing w:after="40"/>
            </w:pPr>
            <w:r>
              <w:rPr>
                <w:rFonts w:ascii="Courier New" w:cs="Courier New" w:eastAsia="Courier New" w:hAnsi="Courier New"/>
                <w:color w:val="1E3A5F"/>
                <w:sz w:val="20"/>
                <w:szCs w:val="20"/>
              </w:rPr>
              <w:t xml:space="preserve"/>
            </w:r>
          </w:p>
          <w:p>
            <w:pPr>
              <w:spacing w:after="40"/>
            </w:pPr>
            <w:r>
              <w:rPr>
                <w:rFonts w:ascii="Courier New" w:cs="Courier New" w:eastAsia="Courier New" w:hAnsi="Courier New"/>
                <w:color w:val="1E3A5F"/>
                <w:sz w:val="20"/>
                <w:szCs w:val="20"/>
              </w:rPr>
              <w:t xml:space="preserve"># Stage 2: Filter to valid Gender values only</w:t>
            </w:r>
          </w:p>
          <w:p>
            <w:pPr>
              <w:spacing w:after="40"/>
            </w:pPr>
            <w:r>
              <w:rPr>
                <w:rFonts w:ascii="Courier New" w:cs="Courier New" w:eastAsia="Courier New" w:hAnsi="Courier New"/>
                <w:color w:val="1E3A5F"/>
                <w:sz w:val="20"/>
                <w:szCs w:val="20"/>
              </w:rPr>
              <w:t xml:space="preserve">#          (catches 'Marie' typo, numeric strings from swaps)</w:t>
            </w:r>
          </w:p>
          <w:p>
            <w:pPr>
              <w:spacing w:after="40"/>
            </w:pPr>
            <w:r>
              <w:rPr>
                <w:rFonts w:ascii="Courier New" w:cs="Courier New" w:eastAsia="Courier New" w:hAnsi="Courier New"/>
                <w:color w:val="1E3A5F"/>
                <w:sz w:val="20"/>
                <w:szCs w:val="20"/>
              </w:rPr>
              <w:t xml:space="preserve">df = df[df['Gender'].isin(VALID_GENDERS)]</w:t>
            </w:r>
          </w:p>
          <w:p>
            <w:pPr>
              <w:spacing w:after="40"/>
            </w:pPr>
            <w:r>
              <w:rPr>
                <w:rFonts w:ascii="Courier New" w:cs="Courier New" w:eastAsia="Courier New" w:hAnsi="Courier New"/>
                <w:color w:val="1E3A5F"/>
                <w:sz w:val="20"/>
                <w:szCs w:val="20"/>
              </w:rPr>
              <w:t xml:space="preserve"/>
            </w:r>
          </w:p>
          <w:p>
            <w:pPr>
              <w:spacing w:after="40"/>
            </w:pPr>
            <w:r>
              <w:rPr>
                <w:rFonts w:ascii="Courier New" w:cs="Courier New" w:eastAsia="Courier New" w:hAnsi="Courier New"/>
                <w:color w:val="1E3A5F"/>
                <w:sz w:val="20"/>
                <w:szCs w:val="20"/>
              </w:rPr>
              <w:t xml:space="preserve"># Stage 3: Filter to valid Platform values only</w:t>
            </w:r>
          </w:p>
          <w:p>
            <w:pPr>
              <w:spacing w:after="40"/>
            </w:pPr>
            <w:r>
              <w:rPr>
                <w:rFonts w:ascii="Courier New" w:cs="Courier New" w:eastAsia="Courier New" w:hAnsi="Courier New"/>
                <w:color w:val="1E3A5F"/>
                <w:sz w:val="20"/>
                <w:szCs w:val="20"/>
              </w:rPr>
              <w:t xml:space="preserve">df = df[df['Platform'].isin(VALID_PLATFORMS)]</w:t>
            </w:r>
          </w:p>
          <w:p>
            <w:pPr>
              <w:spacing w:after="40"/>
            </w:pPr>
            <w:r>
              <w:rPr>
                <w:rFonts w:ascii="Courier New" w:cs="Courier New" w:eastAsia="Courier New" w:hAnsi="Courier New"/>
                <w:color w:val="1E3A5F"/>
                <w:sz w:val="20"/>
                <w:szCs w:val="20"/>
              </w:rPr>
              <w:t xml:space="preserve"/>
            </w:r>
          </w:p>
          <w:p>
            <w:pPr>
              <w:spacing w:after="40"/>
            </w:pPr>
            <w:r>
              <w:rPr>
                <w:rFonts w:ascii="Courier New" w:cs="Courier New" w:eastAsia="Courier New" w:hAnsi="Courier New"/>
                <w:color w:val="1E3A5F"/>
                <w:sz w:val="20"/>
                <w:szCs w:val="20"/>
              </w:rPr>
              <w:t xml:space="preserve"># Stage 3.5: Fix target label typos &amp; filter unknown emotions</w:t>
            </w:r>
          </w:p>
          <w:p>
            <w:pPr>
              <w:spacing w:after="40"/>
            </w:pPr>
            <w:r>
              <w:rPr>
                <w:rFonts w:ascii="Courier New" w:cs="Courier New" w:eastAsia="Courier New" w:hAnsi="Courier New"/>
                <w:color w:val="1E3A5F"/>
                <w:sz w:val="20"/>
                <w:szCs w:val="20"/>
              </w:rPr>
              <w:t xml:space="preserve">LABEL_TYPO_MAP = {'Agression': 'Anger', 'Aggression': 'Anger',</w:t>
            </w:r>
          </w:p>
          <w:p>
            <w:pPr>
              <w:spacing w:after="40"/>
            </w:pPr>
            <w:r>
              <w:rPr>
                <w:rFonts w:ascii="Courier New" w:cs="Courier New" w:eastAsia="Courier New" w:hAnsi="Courier New"/>
                <w:color w:val="1E3A5F"/>
                <w:sz w:val="20"/>
                <w:szCs w:val="20"/>
              </w:rPr>
              <w:t xml:space="preserve">                   'Happines': 'Happiness', 'Bordom': 'Boredom'}</w:t>
            </w:r>
          </w:p>
          <w:p>
            <w:pPr>
              <w:spacing w:after="40"/>
            </w:pPr>
            <w:r>
              <w:rPr>
                <w:rFonts w:ascii="Courier New" w:cs="Courier New" w:eastAsia="Courier New" w:hAnsi="Courier New"/>
                <w:color w:val="1E3A5F"/>
                <w:sz w:val="20"/>
                <w:szCs w:val="20"/>
              </w:rPr>
              <w:t xml:space="preserve">df[TARGET_COL] = df[TARGET_COL].str.strip().replace(LABEL_TYPO_MAP)</w:t>
            </w:r>
          </w:p>
          <w:p>
            <w:pPr>
              <w:spacing w:after="40"/>
            </w:pPr>
            <w:r>
              <w:rPr>
                <w:rFonts w:ascii="Courier New" w:cs="Courier New" w:eastAsia="Courier New" w:hAnsi="Courier New"/>
                <w:color w:val="1E3A5F"/>
                <w:sz w:val="20"/>
                <w:szCs w:val="20"/>
              </w:rPr>
              <w:t xml:space="preserve">df = df[df[TARGET_COL].isin(VALID_EMOTIONS)]</w:t>
            </w:r>
          </w:p>
          <w:p>
            <w:pPr>
              <w:spacing w:after="40"/>
            </w:pPr>
            <w:r>
              <w:rPr>
                <w:rFonts w:ascii="Courier New" w:cs="Courier New" w:eastAsia="Courier New" w:hAnsi="Courier New"/>
                <w:color w:val="1E3A5F"/>
                <w:sz w:val="20"/>
                <w:szCs w:val="20"/>
              </w:rPr>
              <w:t xml:space="preserve"/>
            </w:r>
          </w:p>
          <w:p>
            <w:pPr>
              <w:spacing w:after="40"/>
            </w:pPr>
            <w:r>
              <w:rPr>
                <w:rFonts w:ascii="Courier New" w:cs="Courier New" w:eastAsia="Courier New" w:hAnsi="Courier New"/>
                <w:color w:val="1E3A5F"/>
                <w:sz w:val="20"/>
                <w:szCs w:val="20"/>
              </w:rPr>
              <w:t xml:space="preserve"># Stage 4: Drop rows missing critical fields</w:t>
            </w:r>
          </w:p>
          <w:p>
            <w:pPr>
              <w:spacing w:after="40"/>
            </w:pPr>
            <w:r>
              <w:rPr>
                <w:rFonts w:ascii="Courier New" w:cs="Courier New" w:eastAsia="Courier New" w:hAnsi="Courier New"/>
                <w:color w:val="1E3A5F"/>
                <w:sz w:val="20"/>
                <w:szCs w:val="20"/>
              </w:rPr>
              <w:t xml:space="preserve">df = df.dropna(subset=['Age', 'Gender', TARGET_COL])</w:t>
            </w:r>
          </w:p>
          <w:p>
            <w:pPr>
              <w:spacing w:after="40"/>
            </w:pPr>
            <w:r>
              <w:rPr>
                <w:rFonts w:ascii="Courier New" w:cs="Courier New" w:eastAsia="Courier New" w:hAnsi="Courier New"/>
                <w:color w:val="1E3A5F"/>
                <w:sz w:val="20"/>
                <w:szCs w:val="20"/>
              </w:rPr>
              <w:t xml:space="preserve"/>
            </w:r>
          </w:p>
          <w:p>
            <w:pPr>
              <w:spacing w:after="40"/>
            </w:pPr>
            <w:r>
              <w:rPr>
                <w:rFonts w:ascii="Courier New" w:cs="Courier New" w:eastAsia="Courier New" w:hAnsi="Courier New"/>
                <w:color w:val="1E3A5F"/>
                <w:sz w:val="20"/>
                <w:szCs w:val="20"/>
              </w:rPr>
              <w:t xml:space="preserve"># Stage 5: Drop the User_ID anchor column (non-predictive)</w:t>
            </w:r>
          </w:p>
          <w:p>
            <w:pPr>
              <w:spacing w:after="40"/>
            </w:pPr>
            <w:r>
              <w:rPr>
                <w:rFonts w:ascii="Courier New" w:cs="Courier New" w:eastAsia="Courier New" w:hAnsi="Courier New"/>
                <w:color w:val="1E3A5F"/>
                <w:sz w:val="20"/>
                <w:szCs w:val="20"/>
              </w:rPr>
              <w:t xml:space="preserve">df = df.drop(columns=['User_ID'])</w:t>
            </w:r>
          </w:p>
          <w:p>
            <w:pPr>
              <w:spacing w:after="40"/>
            </w:pPr>
            <w:r>
              <w:rPr>
                <w:rFonts w:ascii="Courier New" w:cs="Courier New" w:eastAsia="Courier New" w:hAnsi="Courier New"/>
                <w:color w:val="1E3A5F"/>
                <w:sz w:val="20"/>
                <w:szCs w:val="20"/>
              </w:rPr>
              <w:t xml:space="preserve"/>
            </w:r>
          </w:p>
          <w:p>
            <w:pPr>
              <w:spacing w:after="40"/>
            </w:pPr>
            <w:r>
              <w:rPr>
                <w:rFonts w:ascii="Courier New" w:cs="Courier New" w:eastAsia="Courier New" w:hAnsi="Courier New"/>
                <w:color w:val="1E3A5F"/>
                <w:sz w:val="20"/>
                <w:szCs w:val="20"/>
              </w:rPr>
              <w:t xml:space="preserve"># Post-cleaning: impute remaining NaNs using TRAINING-ONLY stats (no leakage)</w:t>
            </w:r>
          </w:p>
          <w:p>
            <w:pPr>
              <w:spacing w:after="40"/>
            </w:pPr>
            <w:r>
              <w:rPr>
                <w:rFonts w:ascii="Courier New" w:cs="Courier New" w:eastAsia="Courier New" w:hAnsi="Courier New"/>
                <w:color w:val="1E3A5F"/>
                <w:sz w:val="20"/>
                <w:szCs w:val="20"/>
              </w:rPr>
              <w:t xml:space="preserve">train_medians = train_df[NUMERIC_COLS].median()</w:t>
            </w:r>
          </w:p>
          <w:p>
            <w:pPr>
              <w:spacing w:after="40"/>
            </w:pPr>
            <w:r>
              <w:rPr>
                <w:rFonts w:ascii="Courier New" w:cs="Courier New" w:eastAsia="Courier New" w:hAnsi="Courier New"/>
                <w:color w:val="1E3A5F"/>
                <w:sz w:val="20"/>
                <w:szCs w:val="20"/>
              </w:rPr>
              <w:t xml:space="preserve">train_modes   = {col: train_df[col].mode()[0] for col in CAT_COLS}</w:t>
            </w:r>
          </w:p>
        </w:tc>
      </w:tr>
    </w:tbl>
    <w:p>
      <w:pPr>
        <w:spacing w:after="140"/>
      </w:pPr>
    </w:p>
    <w:p>
      <w:pPr>
        <w:spacing w:after="120" w:before="0"/>
        <w:jc w:val="both"/>
      </w:pPr>
      <w:r>
        <w:rPr>
          <w:rFonts w:ascii="Arial" w:cs="Arial" w:eastAsia="Arial" w:hAnsi="Arial"/>
          <w:b w:val="false"/>
          <w:bCs w:val="false"/>
          <w:i w:val="false"/>
          <w:iCs w:val="false"/>
          <w:color w:val="000000"/>
          <w:sz w:val="22"/>
          <w:szCs w:val="22"/>
        </w:rPr>
        <w:t xml:space="preserve">Seven distinct anomaly types were discovered across the three partitions during development and are each deterministically resolved by the stages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1400"/>
        <w:gridCol w:w="5960"/>
      </w:tblGrid>
      <w:tr>
        <w:trPr>
          <w:tblHeader/>
        </w:trPr>
        <w:tc>
          <w:tcPr>
            <w:tcW w:type="dxa" w:w="5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vAlign w:val="center"/>
          </w:tcPr>
          <w:p>
            <w:r>
              <w:rPr>
                <w:rFonts w:ascii="Arial" w:cs="Arial" w:eastAsia="Arial" w:hAnsi="Arial"/>
                <w:b/>
                <w:bCs/>
                <w:color w:val="1E3A5F"/>
                <w:sz w:val="20"/>
                <w:szCs w:val="20"/>
              </w:rPr>
              <w:t xml:space="preserve">#</w:t>
            </w:r>
          </w:p>
        </w:tc>
        <w:tc>
          <w:tcPr>
            <w:tcW w:type="dxa" w:w="15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vAlign w:val="center"/>
          </w:tcPr>
          <w:p>
            <w:r>
              <w:rPr>
                <w:rFonts w:ascii="Arial" w:cs="Arial" w:eastAsia="Arial" w:hAnsi="Arial"/>
                <w:b/>
                <w:bCs/>
                <w:color w:val="1E3A5F"/>
                <w:sz w:val="20"/>
                <w:szCs w:val="20"/>
              </w:rPr>
              <w:t xml:space="preserve">File</w:t>
            </w:r>
          </w:p>
        </w:tc>
        <w:tc>
          <w:tcPr>
            <w:tcW w:type="dxa" w:w="14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vAlign w:val="center"/>
          </w:tcPr>
          <w:p>
            <w:r>
              <w:rPr>
                <w:rFonts w:ascii="Arial" w:cs="Arial" w:eastAsia="Arial" w:hAnsi="Arial"/>
                <w:b/>
                <w:bCs/>
                <w:color w:val="1E3A5F"/>
                <w:sz w:val="20"/>
                <w:szCs w:val="20"/>
              </w:rPr>
              <w:t xml:space="preserve">Location</w:t>
            </w:r>
          </w:p>
        </w:tc>
        <w:tc>
          <w:tcPr>
            <w:tcW w:type="dxa" w:w="596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vAlign w:val="center"/>
          </w:tcPr>
          <w:p>
            <w:r>
              <w:rPr>
                <w:rFonts w:ascii="Arial" w:cs="Arial" w:eastAsia="Arial" w:hAnsi="Arial"/>
                <w:b/>
                <w:bCs/>
                <w:color w:val="1E3A5F"/>
                <w:sz w:val="20"/>
                <w:szCs w:val="20"/>
              </w:rPr>
              <w:t xml:space="preserve">Anomaly &amp; Resolution</w:t>
            </w:r>
          </w:p>
        </w:tc>
      </w:tr>
      <w:tr>
        <w:tc>
          <w:tcPr>
            <w:tcW w:type="dxa" w:w="5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1</w:t>
            </w:r>
          </w:p>
        </w:tc>
        <w:tc>
          <w:tcPr>
            <w:tcW w:type="dxa" w:w="15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train.csv</w:t>
            </w:r>
          </w:p>
        </w:tc>
        <w:tc>
          <w:tcPr>
            <w:tcW w:type="dxa" w:w="1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Line 1285</w:t>
            </w:r>
          </w:p>
        </w:tc>
        <w:tc>
          <w:tcPr>
            <w:tcW w:type="dxa" w:w="59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Turkish-language sentence artefact embedded in a numeric field → rejected at parse time via on_bad_lines='skip'.</w:t>
            </w:r>
          </w:p>
        </w:tc>
      </w:tr>
      <w:tr>
        <w:tc>
          <w:tcPr>
            <w:tcW w:type="dxa" w:w="5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2</w:t>
            </w:r>
          </w:p>
        </w:tc>
        <w:tc>
          <w:tcPr>
            <w:tcW w:type="dxa" w:w="15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val.csv</w:t>
            </w:r>
          </w:p>
        </w:tc>
        <w:tc>
          <w:tcPr>
            <w:tcW w:type="dxa" w:w="1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Lines 91, 201</w:t>
            </w:r>
          </w:p>
        </w:tc>
        <w:tc>
          <w:tcPr>
            <w:tcW w:type="dxa" w:w="59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Double-comma corruption producing 11 fields instead of 10 → on_bad_lines='skip'.</w:t>
            </w:r>
          </w:p>
        </w:tc>
      </w:tr>
      <w:tr>
        <w:tc>
          <w:tcPr>
            <w:tcW w:type="dxa" w:w="5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3</w:t>
            </w:r>
          </w:p>
        </w:tc>
        <w:tc>
          <w:tcPr>
            <w:tcW w:type="dxa" w:w="15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val.csv / test.csv</w:t>
            </w:r>
          </w:p>
        </w:tc>
        <w:tc>
          <w:tcPr>
            <w:tcW w:type="dxa" w:w="1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val: 31, 131, 155, 161; test: 95</w:t>
            </w:r>
          </w:p>
        </w:tc>
        <w:tc>
          <w:tcPr>
            <w:tcW w:type="dxa" w:w="59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Age and Gender columns swapped (a text value where a number is expected) → pd.to_numeric(errors='coerce') turns the swapped cell to NaN, then the Gender-domain filter removes the corrupted row.</w:t>
            </w:r>
          </w:p>
        </w:tc>
      </w:tr>
      <w:tr>
        <w:tc>
          <w:tcPr>
            <w:tcW w:type="dxa" w:w="5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4</w:t>
            </w:r>
          </w:p>
        </w:tc>
        <w:tc>
          <w:tcPr>
            <w:tcW w:type="dxa" w:w="15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val.csv</w:t>
            </w:r>
          </w:p>
        </w:tc>
        <w:tc>
          <w:tcPr>
            <w:tcW w:type="dxa" w:w="1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Line 159</w:t>
            </w:r>
          </w:p>
        </w:tc>
        <w:tc>
          <w:tcPr>
            <w:tcW w:type="dxa" w:w="59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11 fields with Gender value repeated twice → on_bad_lines='skip'.</w:t>
            </w:r>
          </w:p>
        </w:tc>
      </w:tr>
      <w:tr>
        <w:tc>
          <w:tcPr>
            <w:tcW w:type="dxa" w:w="5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5</w:t>
            </w:r>
          </w:p>
        </w:tc>
        <w:tc>
          <w:tcPr>
            <w:tcW w:type="dxa" w:w="15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val.csv</w:t>
            </w:r>
          </w:p>
        </w:tc>
        <w:tc>
          <w:tcPr>
            <w:tcW w:type="dxa" w:w="1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Line 189</w:t>
            </w:r>
          </w:p>
        </w:tc>
        <w:tc>
          <w:tcPr>
            <w:tcW w:type="dxa" w:w="59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Missing User_ID producing a 9-field row → on_bad_lines='skip'.</w:t>
            </w:r>
          </w:p>
        </w:tc>
      </w:tr>
      <w:tr>
        <w:tc>
          <w:tcPr>
            <w:tcW w:type="dxa" w:w="5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6</w:t>
            </w:r>
          </w:p>
        </w:tc>
        <w:tc>
          <w:tcPr>
            <w:tcW w:type="dxa" w:w="15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test.csv</w:t>
            </w:r>
          </w:p>
        </w:tc>
        <w:tc>
          <w:tcPr>
            <w:tcW w:type="dxa" w:w="1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Line 161</w:t>
            </w:r>
          </w:p>
        </w:tc>
        <w:tc>
          <w:tcPr>
            <w:tcW w:type="dxa" w:w="59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A free-text “Marie” value in the Gender field (not one of the three valid categories) → removed by the Gender-domain validity filter (Stage 2).</w:t>
            </w:r>
          </w:p>
        </w:tc>
      </w:tr>
      <w:tr>
        <w:tc>
          <w:tcPr>
            <w:tcW w:type="dxa" w:w="5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7</w:t>
            </w:r>
          </w:p>
        </w:tc>
        <w:tc>
          <w:tcPr>
            <w:tcW w:type="dxa" w:w="15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val.csv</w:t>
            </w:r>
          </w:p>
        </w:tc>
        <w:tc>
          <w:tcPr>
            <w:tcW w:type="dxa" w:w="1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Line 121</w:t>
            </w:r>
          </w:p>
        </w:tc>
        <w:tc>
          <w:tcPr>
            <w:tcW w:type="dxa" w:w="59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Target-label misspelling “Agression” (intended: “Anger”) → corrected deterministically via LABEL_TYPO_MAP before the VALID_EMOTIONS filter, preventing a silent loss of a legitimate training example and a downstream LabelEncoder crash on an unseen class (see Section 9.3).</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5E8F0" w:color="auto" w:val="clear"/>
            <w:tcMar>
              <w:top w:type="dxa" w:w="120"/>
              <w:left w:type="dxa" w:w="160"/>
              <w:bottom w:type="dxa" w:w="120"/>
              <w:right w:type="dxa" w:w="160"/>
            </w:tcMar>
          </w:tcPr>
          <w:p>
            <w:pPr>
              <w:spacing w:after="60"/>
            </w:pPr>
            <w:r>
              <w:rPr>
                <w:rFonts w:ascii="Arial" w:cs="Arial" w:eastAsia="Arial" w:hAnsi="Arial"/>
                <w:b/>
                <w:bCs/>
                <w:i/>
                <w:iCs/>
                <w:color w:val="2E75B6"/>
                <w:sz w:val="20"/>
                <w:szCs w:val="20"/>
              </w:rPr>
              <w:t xml:space="preserve">▸ Why Anomaly #7 matters more than the other six.</w:t>
            </w:r>
          </w:p>
          <w:p>
            <w:pPr>
              <w:spacing w:after="40"/>
              <w:jc w:val="both"/>
            </w:pPr>
            <w:r>
              <w:rPr>
                <w:rFonts w:ascii="Arial" w:cs="Arial" w:eastAsia="Arial" w:hAnsi="Arial"/>
                <w:i/>
                <w:iCs/>
                <w:color w:val="1E3A5F"/>
                <w:sz w:val="20"/>
                <w:szCs w:val="20"/>
              </w:rPr>
              <w:t xml:space="preserve">Anomalies 1–6 are structurally malformed rows that a strict parser can safely discard without losing modelling signal. Anomaly #7 is different in kind: the row is otherwise well-formed and legitimate — only its target label is misspelled. Silently dropping it (as a naive isin(VALID_EMOTIONS) filter would, absent the LABEL_TYPO_MAP correction step) would quietly shrink the Anger class in val.csv, bias validation-set class balance, and — in deployment — crash LabelEncoder.transform() the first time an unseen string reaches it. The typo-correction stage (Stage 3.5) is inserted specifically to recover this row rather than discard it.</w:t>
            </w:r>
          </w:p>
        </w:tc>
      </w:tr>
    </w:tbl>
    <w:p>
      <w:pPr>
        <w:spacing w:after="140"/>
      </w:pPr>
    </w:p>
    <w:p>
      <w:pPr>
        <w:pStyle w:val="Heading2"/>
        <w:spacing w:after="140" w:before="320"/>
      </w:pPr>
      <w:r>
        <w:rPr>
          <w:rFonts w:ascii="Arial" w:cs="Arial" w:eastAsia="Arial" w:hAnsi="Arial"/>
          <w:b/>
          <w:bCs/>
          <w:color w:val="2E75B6"/>
          <w:sz w:val="28"/>
          <w:szCs w:val="28"/>
        </w:rPr>
        <w:t xml:space="preserve">3.3  Formal Data Dictionary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vAlign w:val="center"/>
          </w:tcPr>
          <w:p>
            <w:r>
              <w:rPr>
                <w:rFonts w:ascii="Arial" w:cs="Arial" w:eastAsia="Arial" w:hAnsi="Arial"/>
                <w:b/>
                <w:bCs/>
                <w:color w:val="1E3A5F"/>
                <w:sz w:val="20"/>
                <w:szCs w:val="20"/>
              </w:rPr>
              <w:t xml:space="preserve">Field / Derived Feature</w:t>
            </w:r>
          </w:p>
        </w:tc>
        <w:tc>
          <w:tcPr>
            <w:tcW w:type="dxa" w:w="676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vAlign w:val="center"/>
          </w:tcPr>
          <w:p>
            <w:r>
              <w:rPr>
                <w:rFonts w:ascii="Arial" w:cs="Arial" w:eastAsia="Arial" w:hAnsi="Arial"/>
                <w:b/>
                <w:bCs/>
                <w:color w:val="1E3A5F"/>
                <w:sz w:val="20"/>
                <w:szCs w:val="20"/>
              </w:rPr>
              <w:t xml:space="preserve">Type &amp; Description</w:t>
            </w:r>
          </w:p>
        </w:tc>
      </w:tr>
      <w:tr>
        <w:tc>
          <w:tcPr>
            <w:tcW w:type="dxa" w:w="26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User_ID</w:t>
            </w:r>
          </w:p>
        </w:tc>
        <w:tc>
          <w:tcPr>
            <w:tcW w:type="dxa" w:w="67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String identifier — retained only for row traceability during cleaning; dropped before feature assembly (non-predictive anchor).</w:t>
            </w:r>
          </w:p>
        </w:tc>
      </w:tr>
      <w:tr>
        <w:tc>
          <w:tcPr>
            <w:tcW w:type="dxa" w:w="26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Age</w:t>
            </w:r>
          </w:p>
        </w:tc>
        <w:tc>
          <w:tcPr>
            <w:tcW w:type="dxa" w:w="67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float64 — user age in years; coerced numeric, imputed from the training median where missing.</w:t>
            </w:r>
          </w:p>
        </w:tc>
      </w:tr>
      <w:tr>
        <w:tc>
          <w:tcPr>
            <w:tcW w:type="dxa" w:w="26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Gender</w:t>
            </w:r>
          </w:p>
        </w:tc>
        <w:tc>
          <w:tcPr>
            <w:tcW w:type="dxa" w:w="67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categorical (3 levels) — Male / Female / Non-binary; one-hot encoded (Block 10).</w:t>
            </w:r>
          </w:p>
        </w:tc>
      </w:tr>
      <w:tr>
        <w:tc>
          <w:tcPr>
            <w:tcW w:type="dxa" w:w="26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Platform</w:t>
            </w:r>
          </w:p>
        </w:tc>
        <w:tc>
          <w:tcPr>
            <w:tcW w:type="dxa" w:w="67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categorical (7 levels) — Instagram, Twitter, Facebook, LinkedIn, Snapchat, Telegram, Whatsapp; one-hot encoded (Block 10).</w:t>
            </w:r>
          </w:p>
        </w:tc>
      </w:tr>
      <w:tr>
        <w:tc>
          <w:tcPr>
            <w:tcW w:type="dxa" w:w="26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Daily_Usage_Time (minutes)</w:t>
            </w:r>
          </w:p>
        </w:tc>
        <w:tc>
          <w:tcPr>
            <w:tcW w:type="dxa" w:w="67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float64 — total minutes spent on the platform that day; primary engagement-intensity signal.</w:t>
            </w:r>
          </w:p>
        </w:tc>
      </w:tr>
      <w:tr>
        <w:tc>
          <w:tcPr>
            <w:tcW w:type="dxa" w:w="26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Posts_Per_Day</w:t>
            </w:r>
          </w:p>
        </w:tc>
        <w:tc>
          <w:tcPr>
            <w:tcW w:type="dxa" w:w="67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float64 — count of original content pieces posted that day.</w:t>
            </w:r>
          </w:p>
        </w:tc>
      </w:tr>
      <w:tr>
        <w:tc>
          <w:tcPr>
            <w:tcW w:type="dxa" w:w="26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Likes_Received_Per_Day</w:t>
            </w:r>
          </w:p>
        </w:tc>
        <w:tc>
          <w:tcPr>
            <w:tcW w:type="dxa" w:w="67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float64 — count of likes received on the user's content that day (social-reward signal).</w:t>
            </w:r>
          </w:p>
        </w:tc>
      </w:tr>
      <w:tr>
        <w:tc>
          <w:tcPr>
            <w:tcW w:type="dxa" w:w="26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Comments_Received_Per_Day</w:t>
            </w:r>
          </w:p>
        </w:tc>
        <w:tc>
          <w:tcPr>
            <w:tcW w:type="dxa" w:w="67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float64 — count of comments received that day (deeper social-reward / conversational signal).</w:t>
            </w:r>
          </w:p>
        </w:tc>
      </w:tr>
      <w:tr>
        <w:tc>
          <w:tcPr>
            <w:tcW w:type="dxa" w:w="26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Messages_Sent_Per_Day</w:t>
            </w:r>
          </w:p>
        </w:tc>
        <w:tc>
          <w:tcPr>
            <w:tcW w:type="dxa" w:w="67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float64 — count of direct/private messages sent that day (outbound social-effort signal).</w:t>
            </w:r>
          </w:p>
        </w:tc>
      </w:tr>
      <w:tr>
        <w:tc>
          <w:tcPr>
            <w:tcW w:type="dxa" w:w="26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Dominant_Emotion</w:t>
            </w:r>
          </w:p>
        </w:tc>
        <w:tc>
          <w:tcPr>
            <w:tcW w:type="dxa" w:w="67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target, categorical (6 levels) — Happiness, Neutral, Anxiety, Sadness, Boredom, Anger; LabelEncoder’d to integers 0–5 (Block 10).</w:t>
            </w:r>
          </w:p>
        </w:tc>
      </w:tr>
      <w:tr>
        <w:tc>
          <w:tcPr>
            <w:tcW w:type="dxa" w:w="26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Interaction_Density (derived)</w:t>
            </w:r>
          </w:p>
        </w:tc>
        <w:tc>
          <w:tcPr>
            <w:tcW w:type="dxa" w:w="67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float64 — (Likes + Comments) / (Usage + ε); engagement received per minute of screen time (Block 9).</w:t>
            </w:r>
          </w:p>
        </w:tc>
      </w:tr>
      <w:tr>
        <w:tc>
          <w:tcPr>
            <w:tcW w:type="dxa" w:w="26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Social_Velocity (derived)</w:t>
            </w:r>
          </w:p>
        </w:tc>
        <w:tc>
          <w:tcPr>
            <w:tcW w:type="dxa" w:w="67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float64 — Likes / (Posts + ε); average reward per content piece — a content-quality proxy.</w:t>
            </w:r>
          </w:p>
        </w:tc>
      </w:tr>
      <w:tr>
        <w:tc>
          <w:tcPr>
            <w:tcW w:type="dxa" w:w="26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Conversational_Reciprocity (derived)</w:t>
            </w:r>
          </w:p>
        </w:tc>
        <w:tc>
          <w:tcPr>
            <w:tcW w:type="dxa" w:w="67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float64 — Messages / (Comments + ε); outbound-to-inbound social-effort ratio.</w:t>
            </w:r>
          </w:p>
        </w:tc>
      </w:tr>
      <w:tr>
        <w:tc>
          <w:tcPr>
            <w:tcW w:type="dxa" w:w="26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Attention_Index (derived)</w:t>
            </w:r>
          </w:p>
        </w:tc>
        <w:tc>
          <w:tcPr>
            <w:tcW w:type="dxa" w:w="67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float64 — Usage / (Posts + ε); time invested per post — high values flag passive-consumption behaviour.</w:t>
            </w:r>
          </w:p>
        </w:tc>
      </w:tr>
      <w:tr>
        <w:tc>
          <w:tcPr>
            <w:tcW w:type="dxa" w:w="26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Engagement_Ratio (derived)</w:t>
            </w:r>
          </w:p>
        </w:tc>
        <w:tc>
          <w:tcPr>
            <w:tcW w:type="dxa" w:w="67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float64 — (Likes + Comments + Messages) / (Usage + ε); holistic interaction intensity across all three engagement channels.</w:t>
            </w:r>
          </w:p>
        </w:tc>
      </w:tr>
      <w:tr>
        <w:tc>
          <w:tcPr>
            <w:tcW w:type="dxa" w:w="26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Content_Efficiency (derived)</w:t>
            </w:r>
          </w:p>
        </w:tc>
        <w:tc>
          <w:tcPr>
            <w:tcW w:type="dxa" w:w="67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float64 — Likes / (Usage × Posts + ε); per-post, per-minute content “ROI.”</w:t>
            </w:r>
          </w:p>
        </w:tc>
      </w:tr>
    </w:tbl>
    <w:p>
      <w:pPr>
        <w:spacing w:after="140"/>
      </w:pPr>
    </w:p>
    <w:p>
      <w:pPr>
        <w:pStyle w:val="Heading1"/>
        <w:pBdr>
          <w:bottom w:val="single" w:color="2E75B6" w:sz="6" w:space="1"/>
        </w:pBdr>
        <w:spacing w:after="200" w:before="480"/>
      </w:pPr>
      <w:r>
        <w:rPr>
          <w:rFonts w:ascii="Arial" w:cs="Arial" w:eastAsia="Arial" w:hAnsi="Arial"/>
          <w:b/>
          <w:bCs/>
          <w:caps/>
          <w:color w:val="1E3A5F"/>
          <w:sz w:val="36"/>
          <w:szCs w:val="36"/>
        </w:rPr>
        <w:t xml:space="preserve">4.  Exploratory Data Analysis &amp; Behavioural Diagnostics</w:t>
      </w:r>
    </w:p>
    <w:p>
      <w:pPr>
        <w:spacing w:after="120" w:before="0"/>
        <w:jc w:val="both"/>
      </w:pPr>
      <w:r>
        <w:rPr>
          <w:rFonts w:ascii="Arial" w:cs="Arial" w:eastAsia="Arial" w:hAnsi="Arial"/>
          <w:b w:val="false"/>
          <w:bCs w:val="false"/>
          <w:i w:val="false"/>
          <w:iCs w:val="false"/>
          <w:color w:val="000000"/>
          <w:sz w:val="22"/>
          <w:szCs w:val="22"/>
        </w:rPr>
        <w:t xml:space="preserve">Six dedicated diagnostic blocks (Blocks 3–8) characterise the cleaned training partition before any modelling decision is made. Each is designed to surface a specific statistical property that downstream architecture choices depend on — class balance (which drives the universal class_weight='balanced' policy), feature-emotion separability (which motivates the six engineered ratios of Section 5.1), and multivariate structure (which motivates the multicollinearity filter of Section 5.3).</w:t>
      </w:r>
    </w:p>
    <w:p>
      <w:pPr>
        <w:pStyle w:val="Heading2"/>
        <w:spacing w:after="140" w:before="320"/>
      </w:pPr>
      <w:r>
        <w:rPr>
          <w:rFonts w:ascii="Arial" w:cs="Arial" w:eastAsia="Arial" w:hAnsi="Arial"/>
          <w:b/>
          <w:bCs/>
          <w:color w:val="2E75B6"/>
          <w:sz w:val="28"/>
          <w:szCs w:val="28"/>
        </w:rPr>
        <w:t xml:space="preserve">4.1  Class Distribution &amp; Imbalance Diagnostics (Block 3)</w:t>
      </w:r>
    </w:p>
    <w:p>
      <w:pPr>
        <w:spacing w:after="120" w:before="0"/>
        <w:jc w:val="both"/>
      </w:pPr>
      <w:r>
        <w:rPr>
          <w:rFonts w:ascii="Arial" w:cs="Arial" w:eastAsia="Arial" w:hAnsi="Arial"/>
          <w:b w:val="false"/>
          <w:bCs w:val="false"/>
          <w:i w:val="false"/>
          <w:iCs w:val="false"/>
          <w:color w:val="000000"/>
          <w:sz w:val="22"/>
          <w:szCs w:val="22"/>
        </w:rPr>
        <w:t xml:space="preserve">A normalised bar chart and pie chart of Dominant_Emotion frequency in the training partition, together with a three-way overlay comparing class proportions across train / val / test, establish whether the supplied partitions are approximately stratified. Any material cross-split divergence would flag a validation-set/test-set representativeness risk that the balanced class-weighting alone cannot fix. The exact counts (train_df[TARGET_COL].value_counts()) are printed to console at execution time and should be transcribed into the project appendix.</w:t>
      </w:r>
    </w:p>
    <w:p>
      <w:pPr>
        <w:pStyle w:val="Heading2"/>
        <w:spacing w:after="140" w:before="320"/>
      </w:pPr>
      <w:r>
        <w:rPr>
          <w:rFonts w:ascii="Arial" w:cs="Arial" w:eastAsia="Arial" w:hAnsi="Arial"/>
          <w:b/>
          <w:bCs/>
          <w:color w:val="2E75B6"/>
          <w:sz w:val="28"/>
          <w:szCs w:val="28"/>
        </w:rPr>
        <w:t xml:space="preserve">4.2  Continuous Feature Shift Analysis — KDE (Block 4)</w:t>
      </w:r>
    </w:p>
    <w:p>
      <w:pPr>
        <w:spacing w:after="120" w:before="0"/>
        <w:jc w:val="both"/>
      </w:pPr>
      <w:r>
        <w:rPr>
          <w:rFonts w:ascii="Arial" w:cs="Arial" w:eastAsia="Arial" w:hAnsi="Arial"/>
          <w:b w:val="false"/>
          <w:bCs w:val="false"/>
          <w:i w:val="false"/>
          <w:iCs w:val="false"/>
          <w:color w:val="000000"/>
          <w:sz w:val="22"/>
          <w:szCs w:val="22"/>
        </w:rPr>
        <w:t xml:space="preserve">Kernel Density Estimate curves for the four highest-variance continuous features — Daily_Usage_Time, Likes_Received_Per_Day, Messages_Sent_Per_Day, Comments_Received_Per_Day — are overlaid per emotion class in a 2×2 grid. Materially separated density curves for a given feature/emotion pair are a strong prior that the feature carries standalone discriminative signal; near-identical overlapping curves indicate the feature alone is uninformative for that class boundary and that discrimination must instead emerge from feature interactions (motivating Section 5.1's engineered ratios).</w:t>
      </w:r>
    </w:p>
    <w:p>
      <w:pPr>
        <w:pStyle w:val="Heading2"/>
        <w:spacing w:after="140" w:before="320"/>
      </w:pPr>
      <w:r>
        <w:rPr>
          <w:rFonts w:ascii="Arial" w:cs="Arial" w:eastAsia="Arial" w:hAnsi="Arial"/>
          <w:b/>
          <w:bCs/>
          <w:color w:val="2E75B6"/>
          <w:sz w:val="28"/>
          <w:szCs w:val="28"/>
        </w:rPr>
        <w:t xml:space="preserve">4.3  Categorical Cross-Tabulation — Platform &amp; Gender Behaviour Matrix (Block 5)</w:t>
      </w:r>
    </w:p>
    <w:p>
      <w:pPr>
        <w:spacing w:after="120" w:before="0"/>
        <w:jc w:val="both"/>
      </w:pPr>
      <w:r>
        <w:rPr>
          <w:rFonts w:ascii="Arial" w:cs="Arial" w:eastAsia="Arial" w:hAnsi="Arial"/>
          <w:b w:val="false"/>
          <w:bCs w:val="false"/>
          <w:i w:val="false"/>
          <w:iCs w:val="false"/>
          <w:color w:val="000000"/>
          <w:sz w:val="22"/>
          <w:szCs w:val="22"/>
        </w:rPr>
        <w:t xml:space="preserve">A normalised, stacked Platform × Emotion bar chart and a grouped Gender × Emotion bar chart quantify whether affective state co-varies with platform choice or gender. This diagnostic is directly relevant to Section 11.3's fairness discussion: if Gender shows a strong marginal association with Dominant_Emotion in the raw data, any classifier that consumes Gender as a feature risks encoding — rather than merely detecting — that association, which is precisely the risk a pre-deployment fairness audit (Section 12) is designed to catch.</w:t>
      </w:r>
    </w:p>
    <w:p>
      <w:pPr>
        <w:pStyle w:val="Heading2"/>
        <w:spacing w:after="140" w:before="320"/>
      </w:pPr>
      <w:r>
        <w:rPr>
          <w:rFonts w:ascii="Arial" w:cs="Arial" w:eastAsia="Arial" w:hAnsi="Arial"/>
          <w:b/>
          <w:bCs/>
          <w:color w:val="2E75B6"/>
          <w:sz w:val="28"/>
          <w:szCs w:val="28"/>
        </w:rPr>
        <w:t xml:space="preserve">4.4  Bivariate Separability Scatter Space (Block 6)</w:t>
      </w:r>
    </w:p>
    <w:p>
      <w:pPr>
        <w:spacing w:after="120" w:before="0"/>
        <w:jc w:val="both"/>
      </w:pPr>
      <w:r>
        <w:rPr>
          <w:rFonts w:ascii="Arial" w:cs="Arial" w:eastAsia="Arial" w:hAnsi="Arial"/>
          <w:b w:val="false"/>
          <w:bCs w:val="false"/>
          <w:i w:val="false"/>
          <w:iCs w:val="false"/>
          <w:color w:val="000000"/>
          <w:sz w:val="22"/>
          <w:szCs w:val="22"/>
        </w:rPr>
        <w:t xml:space="preserve">Two scatter plots — Daily_Usage_Time vs. Messages_Sent_Per_Day, and Likes_Received_Per_Day vs. Comments_Received_Per_Day — colour-coded by emotion, provide a direct visual test of linear class separability in raw feature space. Visually intermixed clusters (the expected outcome for a psychologically latent target predicted from indirect behavioural proxies) motivate the inclusion of non-linear candidate models — the gradient-boosted trees and deep networks of Sections 6–7 — over a purely linear decision boundary.</w:t>
      </w:r>
    </w:p>
    <w:p>
      <w:pPr>
        <w:pStyle w:val="Heading2"/>
        <w:spacing w:after="140" w:before="320"/>
      </w:pPr>
      <w:r>
        <w:rPr>
          <w:rFonts w:ascii="Arial" w:cs="Arial" w:eastAsia="Arial" w:hAnsi="Arial"/>
          <w:b/>
          <w:bCs/>
          <w:color w:val="2E75B6"/>
          <w:sz w:val="28"/>
          <w:szCs w:val="28"/>
        </w:rPr>
        <w:t xml:space="preserve">4.5  Distribution Profile: Skewness, Kurtosis &amp; Outlier Detection (Block 7)</w:t>
      </w:r>
    </w:p>
    <w:p>
      <w:pPr>
        <w:spacing w:after="120" w:before="0"/>
        <w:jc w:val="both"/>
      </w:pPr>
      <w:r>
        <w:rPr>
          <w:rFonts w:ascii="Arial" w:cs="Arial" w:eastAsia="Arial" w:hAnsi="Arial"/>
          <w:b w:val="false"/>
          <w:bCs w:val="false"/>
          <w:i w:val="false"/>
          <w:iCs w:val="false"/>
          <w:color w:val="000000"/>
          <w:sz w:val="22"/>
          <w:szCs w:val="22"/>
        </w:rPr>
        <w:t xml:space="preserve">Fisher-Pearson skewness and excess kurtosis are computed for all six numeric features, tabulated alongside mean and standard deviation, and visualised via per-emotion box plots and violin plots for every numeric column. Engagement-count features (likes, comments, messages) are, by their count-like nature, expected a priori to exhibit right (positive) skew and leptokurtic tails — a small number of high-engagement “power users” pulling the distribution's tail out — which is the standard justification for preferring tree-based splits (invariant to monotonic feature transforms) over distance-based or purely linear methods for this feature family.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BF4FB" w:color="auto" w:val="clear"/>
            <w:tcMar>
              <w:top w:type="dxa" w:w="100"/>
              <w:left w:type="dxa" w:w="140"/>
              <w:bottom w:type="dxa" w:w="100"/>
              <w:right w:type="dxa" w:w="140"/>
            </w:tcMar>
          </w:tcPr>
          <w:p>
            <w:pPr>
              <w:spacing w:after="40"/>
            </w:pPr>
            <w:r>
              <w:rPr>
                <w:rFonts w:ascii="Courier New" w:cs="Courier New" w:eastAsia="Courier New" w:hAnsi="Courier New"/>
                <w:color w:val="1E3A5F"/>
                <w:sz w:val="20"/>
                <w:szCs w:val="20"/>
              </w:rPr>
              <w:t xml:space="preserve">stats_table = pd.DataFrame({</w:t>
            </w:r>
          </w:p>
          <w:p>
            <w:pPr>
              <w:spacing w:after="40"/>
            </w:pPr>
            <w:r>
              <w:rPr>
                <w:rFonts w:ascii="Courier New" w:cs="Courier New" w:eastAsia="Courier New" w:hAnsi="Courier New"/>
                <w:color w:val="1E3A5F"/>
                <w:sz w:val="20"/>
                <w:szCs w:val="20"/>
              </w:rPr>
              <w:t xml:space="preserve">    'Feature':         NUMERIC_COLS,</w:t>
            </w:r>
          </w:p>
          <w:p>
            <w:pPr>
              <w:spacing w:after="40"/>
            </w:pPr>
            <w:r>
              <w:rPr>
                <w:rFonts w:ascii="Courier New" w:cs="Courier New" w:eastAsia="Courier New" w:hAnsi="Courier New"/>
                <w:color w:val="1E3A5F"/>
                <w:sz w:val="20"/>
                <w:szCs w:val="20"/>
              </w:rPr>
              <w:t xml:space="preserve">    'Skewness':        [skew(train_df[c].dropna())     for c in NUMERIC_COLS],</w:t>
            </w:r>
          </w:p>
          <w:p>
            <w:pPr>
              <w:spacing w:after="40"/>
            </w:pPr>
            <w:r>
              <w:rPr>
                <w:rFonts w:ascii="Courier New" w:cs="Courier New" w:eastAsia="Courier New" w:hAnsi="Courier New"/>
                <w:color w:val="1E3A5F"/>
                <w:sz w:val="20"/>
                <w:szCs w:val="20"/>
              </w:rPr>
              <w:t xml:space="preserve">    'Excess Kurtosis': [kurtosis(train_df[c].dropna()) for c in NUMERIC_COLS],</w:t>
            </w:r>
          </w:p>
          <w:p>
            <w:pPr>
              <w:spacing w:after="40"/>
            </w:pPr>
            <w:r>
              <w:rPr>
                <w:rFonts w:ascii="Courier New" w:cs="Courier New" w:eastAsia="Courier New" w:hAnsi="Courier New"/>
                <w:color w:val="1E3A5F"/>
                <w:sz w:val="20"/>
                <w:szCs w:val="20"/>
              </w:rPr>
              <w:t xml:space="preserve">    'Mean':            [train_df[c].mean() for c in NUMERIC_COLS],</w:t>
            </w:r>
          </w:p>
          <w:p>
            <w:pPr>
              <w:spacing w:after="40"/>
            </w:pPr>
            <w:r>
              <w:rPr>
                <w:rFonts w:ascii="Courier New" w:cs="Courier New" w:eastAsia="Courier New" w:hAnsi="Courier New"/>
                <w:color w:val="1E3A5F"/>
                <w:sz w:val="20"/>
                <w:szCs w:val="20"/>
              </w:rPr>
              <w:t xml:space="preserve">    'Std':             [train_df[c].std()  for c in NUMERIC_COLS],</w:t>
            </w:r>
          </w:p>
          <w:p>
            <w:pPr>
              <w:spacing w:after="40"/>
            </w:pPr>
            <w:r>
              <w:rPr>
                <w:rFonts w:ascii="Courier New" w:cs="Courier New" w:eastAsia="Courier New" w:hAnsi="Courier New"/>
                <w:color w:val="1E3A5F"/>
                <w:sz w:val="20"/>
                <w:szCs w:val="20"/>
              </w:rPr>
              <w:t xml:space="preserve">})</w:t>
            </w:r>
          </w:p>
        </w:tc>
      </w:tr>
    </w:tbl>
    <w:p>
      <w:pPr>
        <w:spacing w:after="140"/>
      </w:pPr>
    </w:p>
    <w:p>
      <w:pPr>
        <w:pStyle w:val="Heading2"/>
        <w:spacing w:after="140" w:before="320"/>
      </w:pPr>
      <w:r>
        <w:rPr>
          <w:rFonts w:ascii="Arial" w:cs="Arial" w:eastAsia="Arial" w:hAnsi="Arial"/>
          <w:b/>
          <w:bCs/>
          <w:color w:val="2E75B6"/>
          <w:sz w:val="28"/>
          <w:szCs w:val="28"/>
        </w:rPr>
        <w:t xml:space="preserve">4.6  Unsupervised PCA Variance Clustering (Block 8)</w:t>
      </w:r>
    </w:p>
    <w:p>
      <w:pPr>
        <w:spacing w:after="120" w:before="0"/>
        <w:jc w:val="both"/>
      </w:pPr>
      <w:r>
        <w:rPr>
          <w:rFonts w:ascii="Arial" w:cs="Arial" w:eastAsia="Arial" w:hAnsi="Arial"/>
          <w:b w:val="false"/>
          <w:bCs w:val="false"/>
          <w:i w:val="false"/>
          <w:iCs w:val="false"/>
          <w:color w:val="000000"/>
          <w:sz w:val="22"/>
          <w:szCs w:val="22"/>
        </w:rPr>
        <w:t xml:space="preserve">The six numeric features are standardised (StandardScaler, fit on the full training slice used for this diagnostic only — distinct from the leak-safe scaler of Section 5.4) and projected onto their first two principal components. The resulting scatter, coloured by Dominant_Emotion, is an unsupervised sanity check: if emotion classes form even loosely separable clusters under a purely variance-maximising, label-blind projection, that is strong corroborating evidence that the supervised classifiers of Sections 6–7 have real signal to exploit rather than noise to overfit. The explained-variance ratio of PC-1 and PC-2 (printed at execution time) additionally quantifies how much of the six-dimensional numeric feature space collapses onto a two-dimensional plane — informative for judging whether the eventual multicollinearity filter (Section 5.3) is likely to prune aggressively.</w:t>
      </w:r>
    </w:p>
    <w:p>
      <w:pPr>
        <w:pStyle w:val="Heading1"/>
        <w:pBdr>
          <w:bottom w:val="single" w:color="2E75B6" w:sz="6" w:space="1"/>
        </w:pBdr>
        <w:spacing w:after="200" w:before="480"/>
      </w:pPr>
      <w:r>
        <w:rPr>
          <w:rFonts w:ascii="Arial" w:cs="Arial" w:eastAsia="Arial" w:hAnsi="Arial"/>
          <w:b/>
          <w:bCs/>
          <w:caps/>
          <w:color w:val="1E3A5F"/>
          <w:sz w:val="36"/>
          <w:szCs w:val="36"/>
        </w:rPr>
        <w:t xml:space="preserve">5.  Feature Engineering &amp; Leak-Safe Data Preparation</w:t>
      </w:r>
    </w:p>
    <w:p>
      <w:pPr>
        <w:pStyle w:val="Heading2"/>
        <w:spacing w:after="140" w:before="320"/>
      </w:pPr>
      <w:r>
        <w:rPr>
          <w:rFonts w:ascii="Arial" w:cs="Arial" w:eastAsia="Arial" w:hAnsi="Arial"/>
          <w:b/>
          <w:bCs/>
          <w:color w:val="2E75B6"/>
          <w:sz w:val="28"/>
          <w:szCs w:val="28"/>
        </w:rPr>
        <w:t xml:space="preserve">5.1  Advanced Feature Engineering — Six Derived Behavioural Features (Block 9)</w:t>
      </w:r>
    </w:p>
    <w:p>
      <w:pPr>
        <w:spacing w:after="120" w:before="0"/>
        <w:jc w:val="both"/>
      </w:pPr>
      <w:r>
        <w:rPr>
          <w:rFonts w:ascii="Arial" w:cs="Arial" w:eastAsia="Arial" w:hAnsi="Arial"/>
          <w:b w:val="false"/>
          <w:bCs w:val="false"/>
          <w:i w:val="false"/>
          <w:iCs w:val="false"/>
          <w:color w:val="000000"/>
          <w:sz w:val="22"/>
          <w:szCs w:val="22"/>
        </w:rPr>
        <w:t xml:space="preserve">Raw engagement counters describe activity in isolation; they do not describe the ratios and interactions that plausibly drive affect. Six derived features are engineered — identically, via one shared function, across all three partitions — to encode behavioural interaction patterns that no single raw column can express. Every denominator is protected by an epsilon term (ε = 1×10⁻⁵) to guarantee numerical stability against zero-valued Posts_Per_Day, Comments_Received_Per_Day, or Daily_Usage_Time: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BF4FB" w:color="auto" w:val="clear"/>
            <w:tcMar>
              <w:top w:type="dxa" w:w="100"/>
              <w:left w:type="dxa" w:w="140"/>
              <w:bottom w:type="dxa" w:w="100"/>
              <w:right w:type="dxa" w:w="140"/>
            </w:tcMar>
          </w:tcPr>
          <w:p>
            <w:pPr>
              <w:spacing w:after="40"/>
            </w:pPr>
            <w:r>
              <w:rPr>
                <w:rFonts w:ascii="Courier New" w:cs="Courier New" w:eastAsia="Courier New" w:hAnsi="Courier New"/>
                <w:color w:val="1E3A5F"/>
                <w:sz w:val="20"/>
                <w:szCs w:val="20"/>
              </w:rPr>
              <w:t xml:space="preserve">EPS = 1e-5</w:t>
            </w:r>
          </w:p>
          <w:p>
            <w:pPr>
              <w:spacing w:after="40"/>
            </w:pPr>
            <w:r>
              <w:rPr>
                <w:rFonts w:ascii="Courier New" w:cs="Courier New" w:eastAsia="Courier New" w:hAnsi="Courier New"/>
                <w:color w:val="1E3A5F"/>
                <w:sz w:val="20"/>
                <w:szCs w:val="20"/>
              </w:rPr>
              <w:t xml:space="preserve"># Shorthand below: Usage=Daily_Usage_Time, Posts=Posts_Per_Day, Likes=Likes_Received_Per_Day,</w:t>
            </w:r>
          </w:p>
          <w:p>
            <w:pPr>
              <w:spacing w:after="40"/>
            </w:pPr>
            <w:r>
              <w:rPr>
                <w:rFonts w:ascii="Courier New" w:cs="Courier New" w:eastAsia="Courier New" w:hAnsi="Courier New"/>
                <w:color w:val="1E3A5F"/>
                <w:sz w:val="20"/>
                <w:szCs w:val="20"/>
              </w:rPr>
              <w:t xml:space="preserve">#                  Comments=Comments_Received_Per_Day, Messages=Messages_Sent_Per_Day</w:t>
            </w:r>
          </w:p>
          <w:p>
            <w:pPr>
              <w:spacing w:after="40"/>
            </w:pPr>
            <w:r>
              <w:rPr>
                <w:rFonts w:ascii="Courier New" w:cs="Courier New" w:eastAsia="Courier New" w:hAnsi="Courier New"/>
                <w:color w:val="1E3A5F"/>
                <w:sz w:val="20"/>
                <w:szCs w:val="20"/>
              </w:rPr>
              <w:t xml:space="preserve"/>
            </w:r>
          </w:p>
          <w:p>
            <w:pPr>
              <w:spacing w:after="40"/>
            </w:pPr>
            <w:r>
              <w:rPr>
                <w:rFonts w:ascii="Courier New" w:cs="Courier New" w:eastAsia="Courier New" w:hAnsi="Courier New"/>
                <w:color w:val="1E3A5F"/>
                <w:sz w:val="20"/>
                <w:szCs w:val="20"/>
              </w:rPr>
              <w:t xml:space="preserve">Interaction_Density        = (Likes + Comments) / (Usage + EPS)</w:t>
            </w:r>
          </w:p>
          <w:p>
            <w:pPr>
              <w:spacing w:after="40"/>
            </w:pPr>
            <w:r>
              <w:rPr>
                <w:rFonts w:ascii="Courier New" w:cs="Courier New" w:eastAsia="Courier New" w:hAnsi="Courier New"/>
                <w:color w:val="1E3A5F"/>
                <w:sz w:val="20"/>
                <w:szCs w:val="20"/>
              </w:rPr>
              <w:t xml:space="preserve">Social_Velocity            = Likes / (Posts + EPS)</w:t>
            </w:r>
          </w:p>
          <w:p>
            <w:pPr>
              <w:spacing w:after="40"/>
            </w:pPr>
            <w:r>
              <w:rPr>
                <w:rFonts w:ascii="Courier New" w:cs="Courier New" w:eastAsia="Courier New" w:hAnsi="Courier New"/>
                <w:color w:val="1E3A5F"/>
                <w:sz w:val="20"/>
                <w:szCs w:val="20"/>
              </w:rPr>
              <w:t xml:space="preserve">Conversational_Reciprocity = Messages / (Comments + EPS)</w:t>
            </w:r>
          </w:p>
          <w:p>
            <w:pPr>
              <w:spacing w:after="40"/>
            </w:pPr>
            <w:r>
              <w:rPr>
                <w:rFonts w:ascii="Courier New" w:cs="Courier New" w:eastAsia="Courier New" w:hAnsi="Courier New"/>
                <w:color w:val="1E3A5F"/>
                <w:sz w:val="20"/>
                <w:szCs w:val="20"/>
              </w:rPr>
              <w:t xml:space="preserve">Attention_Index            = Usage / (Posts + EPS)</w:t>
            </w:r>
          </w:p>
          <w:p>
            <w:pPr>
              <w:spacing w:after="40"/>
            </w:pPr>
            <w:r>
              <w:rPr>
                <w:rFonts w:ascii="Courier New" w:cs="Courier New" w:eastAsia="Courier New" w:hAnsi="Courier New"/>
                <w:color w:val="1E3A5F"/>
                <w:sz w:val="20"/>
                <w:szCs w:val="20"/>
              </w:rPr>
              <w:t xml:space="preserve">Engagement_Ratio           = (Likes + Comments + Messages) / (Usage + EPS)</w:t>
            </w:r>
          </w:p>
          <w:p>
            <w:pPr>
              <w:spacing w:after="40"/>
            </w:pPr>
            <w:r>
              <w:rPr>
                <w:rFonts w:ascii="Courier New" w:cs="Courier New" w:eastAsia="Courier New" w:hAnsi="Courier New"/>
                <w:color w:val="1E3A5F"/>
                <w:sz w:val="20"/>
                <w:szCs w:val="20"/>
              </w:rPr>
              <w:t xml:space="preserve">Content_Efficiency         = Likes / (Usage × Posts + EPS)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60"/>
        <w:gridCol w:w="3900"/>
      </w:tblGrid>
      <w:tr>
        <w:trPr>
          <w:tblHeader/>
        </w:trPr>
        <w:tc>
          <w:tcPr>
            <w:tcW w:type="dxa" w:w="22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vAlign w:val="center"/>
          </w:tcPr>
          <w:p>
            <w:r>
              <w:rPr>
                <w:rFonts w:ascii="Arial" w:cs="Arial" w:eastAsia="Arial" w:hAnsi="Arial"/>
                <w:b/>
                <w:bCs/>
                <w:color w:val="1E3A5F"/>
                <w:sz w:val="20"/>
                <w:szCs w:val="20"/>
              </w:rPr>
              <w:t xml:space="preserve">Feature</w:t>
            </w:r>
          </w:p>
        </w:tc>
        <w:tc>
          <w:tcPr>
            <w:tcW w:type="dxa" w:w="326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vAlign w:val="center"/>
          </w:tcPr>
          <w:p>
            <w:r>
              <w:rPr>
                <w:rFonts w:ascii="Arial" w:cs="Arial" w:eastAsia="Arial" w:hAnsi="Arial"/>
                <w:b/>
                <w:bCs/>
                <w:color w:val="1E3A5F"/>
                <w:sz w:val="20"/>
                <w:szCs w:val="20"/>
              </w:rPr>
              <w:t xml:space="preserve">Formula</w:t>
            </w:r>
          </w:p>
        </w:tc>
        <w:tc>
          <w:tcPr>
            <w:tcW w:type="dxa" w:w="39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vAlign w:val="center"/>
          </w:tcPr>
          <w:p>
            <w:r>
              <w:rPr>
                <w:rFonts w:ascii="Arial" w:cs="Arial" w:eastAsia="Arial" w:hAnsi="Arial"/>
                <w:b/>
                <w:bCs/>
                <w:color w:val="1E3A5F"/>
                <w:sz w:val="20"/>
                <w:szCs w:val="20"/>
              </w:rPr>
              <w:t xml:space="preserve">Behavioural Interpretation</w:t>
            </w:r>
          </w:p>
        </w:tc>
      </w:tr>
      <w:tr>
        <w:tc>
          <w:tcPr>
            <w:tcW w:type="dxa" w:w="2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Interaction Density</w:t>
            </w:r>
          </w:p>
        </w:tc>
        <w:tc>
          <w:tcPr>
            <w:tcW w:type="dxa" w:w="32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(Likes + Comments) / Usage</w:t>
            </w:r>
          </w:p>
        </w:tc>
        <w:tc>
          <w:tcPr>
            <w:tcW w:type="dxa" w:w="39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Engagement intensity received per minute of screen time — high values suggest efficient, high-reward sessions rather than passive scrolling.</w:t>
            </w:r>
          </w:p>
        </w:tc>
      </w:tr>
      <w:tr>
        <w:tc>
          <w:tcPr>
            <w:tcW w:type="dxa" w:w="2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Social Velocity</w:t>
            </w:r>
          </w:p>
        </w:tc>
        <w:tc>
          <w:tcPr>
            <w:tcW w:type="dxa" w:w="32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Likes / Posts</w:t>
            </w:r>
          </w:p>
        </w:tc>
        <w:tc>
          <w:tcPr>
            <w:tcW w:type="dxa" w:w="39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Average reward per content piece — a proxy for perceived content quality or audience reach.</w:t>
            </w:r>
          </w:p>
        </w:tc>
      </w:tr>
      <w:tr>
        <w:tc>
          <w:tcPr>
            <w:tcW w:type="dxa" w:w="2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Conversational Reciprocity</w:t>
            </w:r>
          </w:p>
        </w:tc>
        <w:tc>
          <w:tcPr>
            <w:tcW w:type="dxa" w:w="32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Messages / Comments</w:t>
            </w:r>
          </w:p>
        </w:tc>
        <w:tc>
          <w:tcPr>
            <w:tcW w:type="dxa" w:w="39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Outbound-to-inbound social effort ratio — distinguishes broadcast-style usage (posting for public reaction) from direct, conversational usage.</w:t>
            </w:r>
          </w:p>
        </w:tc>
      </w:tr>
      <w:tr>
        <w:tc>
          <w:tcPr>
            <w:tcW w:type="dxa" w:w="2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Attention Index</w:t>
            </w:r>
          </w:p>
        </w:tc>
        <w:tc>
          <w:tcPr>
            <w:tcW w:type="dxa" w:w="32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Usage / Posts</w:t>
            </w:r>
          </w:p>
        </w:tc>
        <w:tc>
          <w:tcPr>
            <w:tcW w:type="dxa" w:w="39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Time invested per post — high values flag passive-consumption users who spend disproportionate time relative to their own content output.</w:t>
            </w:r>
          </w:p>
        </w:tc>
      </w:tr>
      <w:tr>
        <w:tc>
          <w:tcPr>
            <w:tcW w:type="dxa" w:w="2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Engagement Ratio</w:t>
            </w:r>
          </w:p>
        </w:tc>
        <w:tc>
          <w:tcPr>
            <w:tcW w:type="dxa" w:w="32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(Likes+Comments+Messages) / Usage</w:t>
            </w:r>
          </w:p>
        </w:tc>
        <w:tc>
          <w:tcPr>
            <w:tcW w:type="dxa" w:w="39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Holistic interaction intensity spanning all three engagement channels, normalised by time invested.</w:t>
            </w:r>
          </w:p>
        </w:tc>
      </w:tr>
      <w:tr>
        <w:tc>
          <w:tcPr>
            <w:tcW w:type="dxa" w:w="2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Content Efficiency</w:t>
            </w:r>
          </w:p>
        </w:tc>
        <w:tc>
          <w:tcPr>
            <w:tcW w:type="dxa" w:w="32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Likes / (Usage × Posts)</w:t>
            </w:r>
          </w:p>
        </w:tc>
        <w:tc>
          <w:tcPr>
            <w:tcW w:type="dxa" w:w="39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Per-post, per-minute content “ROI” — jointly penalises both low output and low time-efficiency.</w:t>
            </w:r>
          </w:p>
        </w:tc>
      </w:tr>
    </w:tbl>
    <w:p>
      <w:pPr>
        <w:spacing w:after="140"/>
      </w:pPr>
    </w:p>
    <w:p>
      <w:pPr>
        <w:pStyle w:val="Heading2"/>
        <w:spacing w:after="140" w:before="320"/>
      </w:pPr>
      <w:r>
        <w:rPr>
          <w:rFonts w:ascii="Arial" w:cs="Arial" w:eastAsia="Arial" w:hAnsi="Arial"/>
          <w:b/>
          <w:bCs/>
          <w:color w:val="2E75B6"/>
          <w:sz w:val="28"/>
          <w:szCs w:val="28"/>
        </w:rPr>
        <w:t xml:space="preserve">5.2  Categorical Encoding &amp; Schema Alignment (Block 10)</w:t>
      </w:r>
    </w:p>
    <w:p>
      <w:pPr>
        <w:spacing w:after="120" w:before="0"/>
        <w:jc w:val="both"/>
      </w:pPr>
      <w:r>
        <w:rPr>
          <w:rFonts w:ascii="Arial" w:cs="Arial" w:eastAsia="Arial" w:hAnsi="Arial"/>
          <w:b w:val="false"/>
          <w:bCs w:val="false"/>
          <w:i w:val="false"/>
          <w:iCs w:val="false"/>
          <w:color w:val="000000"/>
          <w:sz w:val="22"/>
          <w:szCs w:val="22"/>
        </w:rPr>
        <w:t xml:space="preserve">Gender and Platform are one-hot encoded via pd.get_dummies(); the resulting validation and test feature matrices are then explicitly reindexed against the training matrix's column list (fill_value=0) — a defensive measure that guarantees identical column order and cardinality across all three partitions even if a rare category is entirely absent from val.csv or test.csv after cleaning. The target is separately encoded via LabelEncoder.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BF4FB" w:color="auto" w:val="clear"/>
            <w:tcMar>
              <w:top w:type="dxa" w:w="100"/>
              <w:left w:type="dxa" w:w="140"/>
              <w:bottom w:type="dxa" w:w="100"/>
              <w:right w:type="dxa" w:w="140"/>
            </w:tcMar>
          </w:tcPr>
          <w:p>
            <w:pPr>
              <w:spacing w:after="40"/>
            </w:pPr>
            <w:r>
              <w:rPr>
                <w:rFonts w:ascii="Courier New" w:cs="Courier New" w:eastAsia="Courier New" w:hAnsi="Courier New"/>
                <w:color w:val="1E3A5F"/>
                <w:sz w:val="20"/>
                <w:szCs w:val="20"/>
              </w:rPr>
              <w:t xml:space="preserve">X_train = pd.get_dummies(X_train, columns=['Gender', 'Platform'], dtype=float)</w:t>
            </w:r>
          </w:p>
          <w:p>
            <w:pPr>
              <w:spacing w:after="40"/>
            </w:pPr>
            <w:r>
              <w:rPr>
                <w:rFonts w:ascii="Courier New" w:cs="Courier New" w:eastAsia="Courier New" w:hAnsi="Courier New"/>
                <w:color w:val="1E3A5F"/>
                <w:sz w:val="20"/>
                <w:szCs w:val="20"/>
              </w:rPr>
              <w:t xml:space="preserve">X_val   = pd.get_dummies(X_val,   columns=['Gender', 'Platform'], dtype=float)</w:t>
            </w:r>
          </w:p>
          <w:p>
            <w:pPr>
              <w:spacing w:after="40"/>
            </w:pPr>
            <w:r>
              <w:rPr>
                <w:rFonts w:ascii="Courier New" w:cs="Courier New" w:eastAsia="Courier New" w:hAnsi="Courier New"/>
                <w:color w:val="1E3A5F"/>
                <w:sz w:val="20"/>
                <w:szCs w:val="20"/>
              </w:rPr>
              <w:t xml:space="preserve">X_test  = pd.get_dummies(X_test,  columns=['Gender', 'Platform'], dtype=float)</w:t>
            </w:r>
          </w:p>
          <w:p>
            <w:pPr>
              <w:spacing w:after="40"/>
            </w:pPr>
            <w:r>
              <w:rPr>
                <w:rFonts w:ascii="Courier New" w:cs="Courier New" w:eastAsia="Courier New" w:hAnsi="Courier New"/>
                <w:color w:val="1E3A5F"/>
                <w:sz w:val="20"/>
                <w:szCs w:val="20"/>
              </w:rPr>
              <w:t xml:space="preserve"/>
            </w:r>
          </w:p>
          <w:p>
            <w:pPr>
              <w:spacing w:after="40"/>
            </w:pPr>
            <w:r>
              <w:rPr>
                <w:rFonts w:ascii="Courier New" w:cs="Courier New" w:eastAsia="Courier New" w:hAnsi="Courier New"/>
                <w:color w:val="1E3A5F"/>
                <w:sz w:val="20"/>
                <w:szCs w:val="20"/>
              </w:rPr>
              <w:t xml:space="preserve"># Schema-parity guard — val/test MUST match the training column set exactly</w:t>
            </w:r>
          </w:p>
          <w:p>
            <w:pPr>
              <w:spacing w:after="40"/>
            </w:pPr>
            <w:r>
              <w:rPr>
                <w:rFonts w:ascii="Courier New" w:cs="Courier New" w:eastAsia="Courier New" w:hAnsi="Courier New"/>
                <w:color w:val="1E3A5F"/>
                <w:sz w:val="20"/>
                <w:szCs w:val="20"/>
              </w:rPr>
              <w:t xml:space="preserve">X_val  = X_val.reindex(columns=X_train.columns, fill_value=0)</w:t>
            </w:r>
          </w:p>
          <w:p>
            <w:pPr>
              <w:spacing w:after="40"/>
            </w:pPr>
            <w:r>
              <w:rPr>
                <w:rFonts w:ascii="Courier New" w:cs="Courier New" w:eastAsia="Courier New" w:hAnsi="Courier New"/>
                <w:color w:val="1E3A5F"/>
                <w:sz w:val="20"/>
                <w:szCs w:val="20"/>
              </w:rPr>
              <w:t xml:space="preserve">X_test = X_test.reindex(columns=X_train.columns, fill_value=0)</w:t>
            </w:r>
          </w:p>
          <w:p>
            <w:pPr>
              <w:spacing w:after="40"/>
            </w:pPr>
            <w:r>
              <w:rPr>
                <w:rFonts w:ascii="Courier New" w:cs="Courier New" w:eastAsia="Courier New" w:hAnsi="Courier New"/>
                <w:color w:val="1E3A5F"/>
                <w:sz w:val="20"/>
                <w:szCs w:val="20"/>
              </w:rPr>
              <w:t xml:space="preserve"/>
            </w:r>
          </w:p>
          <w:p>
            <w:pPr>
              <w:spacing w:after="40"/>
            </w:pPr>
            <w:r>
              <w:rPr>
                <w:rFonts w:ascii="Courier New" w:cs="Courier New" w:eastAsia="Courier New" w:hAnsi="Courier New"/>
                <w:color w:val="1E3A5F"/>
                <w:sz w:val="20"/>
                <w:szCs w:val="20"/>
              </w:rPr>
              <w:t xml:space="preserve">encoder = LabelEncoder()</w:t>
            </w:r>
          </w:p>
          <w:p>
            <w:pPr>
              <w:spacing w:after="40"/>
            </w:pPr>
            <w:r>
              <w:rPr>
                <w:rFonts w:ascii="Courier New" w:cs="Courier New" w:eastAsia="Courier New" w:hAnsi="Courier New"/>
                <w:color w:val="1E3A5F"/>
                <w:sz w:val="20"/>
                <w:szCs w:val="20"/>
              </w:rPr>
              <w:t xml:space="preserve">y_train = encoder.fit_transform(y_train)   # fit ONLY on train</w:t>
            </w:r>
          </w:p>
          <w:p>
            <w:pPr>
              <w:spacing w:after="40"/>
            </w:pPr>
            <w:r>
              <w:rPr>
                <w:rFonts w:ascii="Courier New" w:cs="Courier New" w:eastAsia="Courier New" w:hAnsi="Courier New"/>
                <w:color w:val="1E3A5F"/>
                <w:sz w:val="20"/>
                <w:szCs w:val="20"/>
              </w:rPr>
              <w:t xml:space="preserve">y_val, y_test = encoder.transform(y_val), encoder.transform(y_test)</w:t>
            </w:r>
          </w:p>
        </w:tc>
      </w:tr>
    </w:tbl>
    <w:p>
      <w:pPr>
        <w:spacing w:after="140"/>
      </w:pPr>
    </w:p>
    <w:p>
      <w:pPr>
        <w:spacing w:after="120" w:before="0"/>
        <w:jc w:val="both"/>
      </w:pPr>
      <w:r>
        <w:rPr>
          <w:rFonts w:ascii="Arial" w:cs="Arial" w:eastAsia="Arial" w:hAnsi="Arial"/>
          <w:b w:val="false"/>
          <w:bCs w:val="false"/>
          <w:i w:val="false"/>
          <w:iCs w:val="false"/>
          <w:color w:val="000000"/>
          <w:sz w:val="22"/>
          <w:szCs w:val="22"/>
        </w:rPr>
        <w:t xml:space="preserve">By construction, this produces up to 22 pre-filter features: 6 raw numeric + 6 engineered numeric (12 total), plus up to 3 Gender dummy columns and up to 7 Platform dummy columns — the exact realised count depends on how many of the 3 Gender and 7 Platform categories actually survive cleaning in the training partition, and is printed by Block 10 (len(feature_names)) at execution time.</w:t>
      </w:r>
    </w:p>
    <w:p>
      <w:pPr>
        <w:pStyle w:val="Heading2"/>
        <w:spacing w:after="140" w:before="320"/>
      </w:pPr>
      <w:r>
        <w:rPr>
          <w:rFonts w:ascii="Arial" w:cs="Arial" w:eastAsia="Arial" w:hAnsi="Arial"/>
          <w:b/>
          <w:bCs/>
          <w:color w:val="2E75B6"/>
          <w:sz w:val="28"/>
          <w:szCs w:val="28"/>
        </w:rPr>
        <w:t xml:space="preserve">5.3  Multicollinearity Elimination Filter (Block 11)</w:t>
      </w:r>
    </w:p>
    <w:p>
      <w:pPr>
        <w:spacing w:after="120" w:before="0"/>
        <w:jc w:val="both"/>
      </w:pPr>
      <w:r>
        <w:rPr>
          <w:rFonts w:ascii="Arial" w:cs="Arial" w:eastAsia="Arial" w:hAnsi="Arial"/>
          <w:b w:val="false"/>
          <w:bCs w:val="false"/>
          <w:i w:val="false"/>
          <w:iCs w:val="false"/>
          <w:color w:val="000000"/>
          <w:sz w:val="22"/>
          <w:szCs w:val="22"/>
        </w:rPr>
        <w:t xml:space="preserve">An absolute Pearson correlation matrix is computed over the full training feature set and visualised as a heatmap. Because several of the six engineered ratios in Section 5.1 are algebraic recombinations of the same underlying raw counters (e.g., Engagement_Ratio and Interaction_Density both feature Likes and Comments in their numerator), a redundancy-pruning step is essential: any feature pair whose absolute correlation exceeds r &gt; 0.85 is identified via the upper triangle of the correlation matrix, and one member of each such pair is dropped prior to scaling.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BF4FB" w:color="auto" w:val="clear"/>
            <w:tcMar>
              <w:top w:type="dxa" w:w="100"/>
              <w:left w:type="dxa" w:w="140"/>
              <w:bottom w:type="dxa" w:w="100"/>
              <w:right w:type="dxa" w:w="140"/>
            </w:tcMar>
          </w:tcPr>
          <w:p>
            <w:pPr>
              <w:spacing w:after="40"/>
            </w:pPr>
            <w:r>
              <w:rPr>
                <w:rFonts w:ascii="Courier New" w:cs="Courier New" w:eastAsia="Courier New" w:hAnsi="Courier New"/>
                <w:color w:val="1E3A5F"/>
                <w:sz w:val="20"/>
                <w:szCs w:val="20"/>
              </w:rPr>
              <w:t xml:space="preserve">corr_matrix = X_train.corr().abs()</w:t>
            </w:r>
          </w:p>
          <w:p>
            <w:pPr>
              <w:spacing w:after="40"/>
            </w:pPr>
            <w:r>
              <w:rPr>
                <w:rFonts w:ascii="Courier New" w:cs="Courier New" w:eastAsia="Courier New" w:hAnsi="Courier New"/>
                <w:color w:val="1E3A5F"/>
                <w:sz w:val="20"/>
                <w:szCs w:val="20"/>
              </w:rPr>
              <w:t xml:space="preserve">upper_tri = corr_matrix.where(np.triu(np.ones(corr_matrix.shape), k=1).astype(bool))</w:t>
            </w:r>
          </w:p>
          <w:p>
            <w:pPr>
              <w:spacing w:after="40"/>
            </w:pPr>
            <w:r>
              <w:rPr>
                <w:rFonts w:ascii="Courier New" w:cs="Courier New" w:eastAsia="Courier New" w:hAnsi="Courier New"/>
                <w:color w:val="1E3A5F"/>
                <w:sz w:val="20"/>
                <w:szCs w:val="20"/>
              </w:rPr>
              <w:t xml:space="preserve">cols_to_drop = [col for col in upper_tri.columns if any(upper_tri[col] &gt; 0.85)]</w:t>
            </w:r>
          </w:p>
          <w:p>
            <w:pPr>
              <w:spacing w:after="40"/>
            </w:pPr>
            <w:r>
              <w:rPr>
                <w:rFonts w:ascii="Courier New" w:cs="Courier New" w:eastAsia="Courier New" w:hAnsi="Courier New"/>
                <w:color w:val="1E3A5F"/>
                <w:sz w:val="20"/>
                <w:szCs w:val="20"/>
              </w:rPr>
              <w:t xml:space="preserve">X_train, X_val, X_test = (df.drop(columns=cols_to_drop) for df in (X_train, X_val, X_test))</w:t>
            </w:r>
          </w:p>
        </w:tc>
      </w:tr>
    </w:tbl>
    <w:p>
      <w:pPr>
        <w:spacing w:after="140"/>
      </w:pPr>
    </w:p>
    <w:p>
      <w:pPr>
        <w:pStyle w:val="Heading2"/>
        <w:spacing w:after="140" w:before="320"/>
      </w:pPr>
      <w:r>
        <w:rPr>
          <w:rFonts w:ascii="Arial" w:cs="Arial" w:eastAsia="Arial" w:hAnsi="Arial"/>
          <w:b/>
          <w:bCs/>
          <w:color w:val="2E75B6"/>
          <w:sz w:val="28"/>
          <w:szCs w:val="28"/>
        </w:rPr>
        <w:t xml:space="preserve">5.4  Partition-Isolated Feature Scaling (Block 12)</w:t>
      </w:r>
    </w:p>
    <w:p>
      <w:pPr>
        <w:spacing w:after="120" w:before="0"/>
        <w:jc w:val="both"/>
      </w:pPr>
      <w:r>
        <w:rPr>
          <w:rFonts w:ascii="Arial" w:cs="Arial" w:eastAsia="Arial" w:hAnsi="Arial"/>
          <w:b w:val="false"/>
          <w:bCs w:val="false"/>
          <w:i w:val="false"/>
          <w:iCs w:val="false"/>
          <w:color w:val="000000"/>
          <w:sz w:val="22"/>
          <w:szCs w:val="22"/>
        </w:rPr>
        <w:t xml:space="preserve">StandardScaler is fitted exclusively on X_train and then applied unmodified to X_val and X_test — the single most important leakage guard in the entire preprocessing chain. Fitting the scaler on the full dataset before splitting would let validation/test-set feature distributions influence the mean and variance used to standardise the training set itself, producing deceptively optimistic validation metrics that do not survive contact with genuinely unseen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BF4FB" w:color="auto" w:val="clear"/>
            <w:tcMar>
              <w:top w:type="dxa" w:w="100"/>
              <w:left w:type="dxa" w:w="140"/>
              <w:bottom w:type="dxa" w:w="100"/>
              <w:right w:type="dxa" w:w="140"/>
            </w:tcMar>
          </w:tcPr>
          <w:p>
            <w:pPr>
              <w:spacing w:after="40"/>
            </w:pPr>
            <w:r>
              <w:rPr>
                <w:rFonts w:ascii="Courier New" w:cs="Courier New" w:eastAsia="Courier New" w:hAnsi="Courier New"/>
                <w:color w:val="1E3A5F"/>
                <w:sz w:val="20"/>
                <w:szCs w:val="20"/>
              </w:rPr>
              <w:t xml:space="preserve">scaler = StandardScaler()</w:t>
            </w:r>
          </w:p>
          <w:p>
            <w:pPr>
              <w:spacing w:after="40"/>
            </w:pPr>
            <w:r>
              <w:rPr>
                <w:rFonts w:ascii="Courier New" w:cs="Courier New" w:eastAsia="Courier New" w:hAnsi="Courier New"/>
                <w:color w:val="1E3A5F"/>
                <w:sz w:val="20"/>
                <w:szCs w:val="20"/>
              </w:rPr>
              <w:t xml:space="preserve">X_train_scaled = scaler.fit_transform(X_train)   # fit + transform on TRAIN only</w:t>
            </w:r>
          </w:p>
          <w:p>
            <w:pPr>
              <w:spacing w:after="40"/>
            </w:pPr>
            <w:r>
              <w:rPr>
                <w:rFonts w:ascii="Courier New" w:cs="Courier New" w:eastAsia="Courier New" w:hAnsi="Courier New"/>
                <w:color w:val="1E3A5F"/>
                <w:sz w:val="20"/>
                <w:szCs w:val="20"/>
              </w:rPr>
              <w:t xml:space="preserve">X_val_scaled   = scaler.transform(X_val)          # transform only — reuses train mean/std</w:t>
            </w:r>
          </w:p>
          <w:p>
            <w:pPr>
              <w:spacing w:after="40"/>
            </w:pPr>
            <w:r>
              <w:rPr>
                <w:rFonts w:ascii="Courier New" w:cs="Courier New" w:eastAsia="Courier New" w:hAnsi="Courier New"/>
                <w:color w:val="1E3A5F"/>
                <w:sz w:val="20"/>
                <w:szCs w:val="20"/>
              </w:rPr>
              <w:t xml:space="preserve">X_test_scaled  = scaler.transform(X_test)         # transform only — reuses train mean/std</w:t>
            </w:r>
          </w:p>
        </w:tc>
      </w:tr>
    </w:tbl>
    <w:p>
      <w:pPr>
        <w:spacing w:after="140"/>
      </w:pPr>
    </w:p>
    <w:p>
      <w:pPr>
        <w:pStyle w:val="Heading1"/>
        <w:pBdr>
          <w:bottom w:val="single" w:color="2E75B6" w:sz="6" w:space="1"/>
        </w:pBdr>
        <w:spacing w:after="200" w:before="480"/>
      </w:pPr>
      <w:r>
        <w:rPr>
          <w:rFonts w:ascii="Arial" w:cs="Arial" w:eastAsia="Arial" w:hAnsi="Arial"/>
          <w:b/>
          <w:bCs/>
          <w:caps/>
          <w:color w:val="1E3A5F"/>
          <w:sz w:val="36"/>
          <w:szCs w:val="36"/>
        </w:rPr>
        <w:t xml:space="preserve">6.  Classical &amp; Ensemble Machine Learning Development</w:t>
      </w:r>
    </w:p>
    <w:p>
      <w:pPr>
        <w:pStyle w:val="Heading2"/>
        <w:spacing w:after="140" w:before="320"/>
      </w:pPr>
      <w:r>
        <w:rPr>
          <w:rFonts w:ascii="Arial" w:cs="Arial" w:eastAsia="Arial" w:hAnsi="Arial"/>
          <w:b/>
          <w:bCs/>
          <w:color w:val="2E75B6"/>
          <w:sz w:val="28"/>
          <w:szCs w:val="28"/>
        </w:rPr>
        <w:t xml:space="preserve">6.1  Baseline Models — Random Forest &amp; Logistic Regression (Block 13)</w:t>
      </w:r>
    </w:p>
    <w:p>
      <w:pPr>
        <w:spacing w:after="120" w:before="0"/>
        <w:jc w:val="both"/>
      </w:pPr>
      <w:r>
        <w:rPr>
          <w:rFonts w:ascii="Arial" w:cs="Arial" w:eastAsia="Arial" w:hAnsi="Arial"/>
          <w:b w:val="false"/>
          <w:bCs w:val="false"/>
          <w:i w:val="false"/>
          <w:iCs w:val="false"/>
          <w:color w:val="000000"/>
          <w:sz w:val="22"/>
          <w:szCs w:val="22"/>
        </w:rPr>
        <w:t xml:space="preserve">Two structurally distinct baselines establish performance floors before the gradient-boosting and deep-learning candidates are introduced. Random Forest fits an ensemble of decision trees on bootstrap-resampled subsets of the training data, each split on a random feature subset, and aggregates by majority vote — a bagged, variance-reducing, non-parametric model largely insensitive to feature scale and monotonic transforms. Logistic Regression, by contrast, fits a single softmax-linear decision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BF4FB" w:color="auto" w:val="clear"/>
            <w:tcMar>
              <w:top w:type="dxa" w:w="100"/>
              <w:left w:type="dxa" w:w="140"/>
              <w:bottom w:type="dxa" w:w="100"/>
              <w:right w:type="dxa" w:w="140"/>
            </w:tcMar>
          </w:tcPr>
          <w:p>
            <w:pPr>
              <w:spacing w:after="40"/>
            </w:pPr>
            <w:r>
              <w:rPr>
                <w:rFonts w:ascii="Courier New" w:cs="Courier New" w:eastAsia="Courier New" w:hAnsi="Courier New"/>
                <w:color w:val="1E3A5F"/>
                <w:sz w:val="20"/>
                <w:szCs w:val="20"/>
              </w:rPr>
              <w:t xml:space="preserve">P(y=k | x) = exp(w_k · x + b_k) / Σⱼ exp(wⱼ · x + bⱼ)</w:t>
            </w:r>
          </w:p>
          <w:p>
            <w:pPr>
              <w:spacing w:after="40"/>
            </w:pPr>
            <w:r>
              <w:rPr>
                <w:rFonts w:ascii="Courier New" w:cs="Courier New" w:eastAsia="Courier New" w:hAnsi="Courier New"/>
                <w:color w:val="1E3A5F"/>
                <w:sz w:val="20"/>
                <w:szCs w:val="20"/>
              </w:rPr>
              <w:t xml:space="preserve">            — multinomial (softmax) logistic regression</w:t>
            </w:r>
          </w:p>
          <w:p>
            <w:pPr>
              <w:spacing w:after="40"/>
            </w:pPr>
            <w:r>
              <w:rPr>
                <w:rFonts w:ascii="Courier New" w:cs="Courier New" w:eastAsia="Courier New" w:hAnsi="Courier New"/>
                <w:color w:val="1E3A5F"/>
                <w:sz w:val="20"/>
                <w:szCs w:val="20"/>
              </w:rPr>
              <w:t xml:space="preserve"/>
            </w:r>
          </w:p>
          <w:p>
            <w:pPr>
              <w:spacing w:after="40"/>
            </w:pPr>
            <w:r>
              <w:rPr>
                <w:rFonts w:ascii="Courier New" w:cs="Courier New" w:eastAsia="Courier New" w:hAnsi="Courier New"/>
                <w:color w:val="1E3A5F"/>
                <w:sz w:val="20"/>
                <w:szCs w:val="20"/>
              </w:rPr>
              <w:t xml:space="preserve">rf_model = RandomForestClassifier(n_estimators=300, max_depth=15, min_samples_split=5,</w:t>
            </w:r>
          </w:p>
          <w:p>
            <w:pPr>
              <w:spacing w:after="40"/>
            </w:pPr>
            <w:r>
              <w:rPr>
                <w:rFonts w:ascii="Courier New" w:cs="Courier New" w:eastAsia="Courier New" w:hAnsi="Courier New"/>
                <w:color w:val="1E3A5F"/>
                <w:sz w:val="20"/>
                <w:szCs w:val="20"/>
              </w:rPr>
              <w:t xml:space="preserve">                                   class_weight='balanced', random_state=42, n_jobs=-1)</w:t>
            </w:r>
          </w:p>
          <w:p>
            <w:pPr>
              <w:spacing w:after="40"/>
            </w:pPr>
            <w:r>
              <w:rPr>
                <w:rFonts w:ascii="Courier New" w:cs="Courier New" w:eastAsia="Courier New" w:hAnsi="Courier New"/>
                <w:color w:val="1E3A5F"/>
                <w:sz w:val="20"/>
                <w:szCs w:val="20"/>
              </w:rPr>
              <w:t xml:space="preserve"/>
            </w:r>
          </w:p>
          <w:p>
            <w:pPr>
              <w:spacing w:after="40"/>
            </w:pPr>
            <w:r>
              <w:rPr>
                <w:rFonts w:ascii="Courier New" w:cs="Courier New" w:eastAsia="Courier New" w:hAnsi="Courier New"/>
                <w:color w:val="1E3A5F"/>
                <w:sz w:val="20"/>
                <w:szCs w:val="20"/>
              </w:rPr>
              <w:t xml:space="preserve">lr_model = LogisticRegression(class_weight='balanced', max_iter=2000,</w:t>
            </w:r>
          </w:p>
          <w:p>
            <w:pPr>
              <w:spacing w:after="40"/>
            </w:pPr>
            <w:r>
              <w:rPr>
                <w:rFonts w:ascii="Courier New" w:cs="Courier New" w:eastAsia="Courier New" w:hAnsi="Courier New"/>
                <w:color w:val="1E3A5F"/>
                <w:sz w:val="20"/>
                <w:szCs w:val="20"/>
              </w:rPr>
              <w:t xml:space="preserve">                               multi_class='multinomial', solver='lbfgs', random_state=42)</w:t>
            </w:r>
          </w:p>
        </w:tc>
      </w:tr>
    </w:tbl>
    <w:p>
      <w:pPr>
        <w:spacing w:after="140"/>
      </w:pPr>
    </w:p>
    <w:p>
      <w:pPr>
        <w:spacing w:after="120" w:before="0"/>
        <w:jc w:val="both"/>
      </w:pPr>
      <w:r>
        <w:rPr>
          <w:rFonts w:ascii="Arial" w:cs="Arial" w:eastAsia="Arial" w:hAnsi="Arial"/>
          <w:b w:val="false"/>
          <w:bCs w:val="false"/>
          <w:i w:val="false"/>
          <w:iCs w:val="false"/>
          <w:color w:val="000000"/>
          <w:sz w:val="22"/>
          <w:szCs w:val="22"/>
        </w:rPr>
        <w:t xml:space="preserve">The gap between these two models is itself diagnostic: if Logistic Regression (a purely linear separator) performs competitively with Random Forest, the six-class decision boundary is closer to linear than the scatter diagnostics of Section 4.4 suggest; a large gap in Random Forest's favour corroborates the expectation of non-linear, interaction-driven class structure.</w:t>
      </w:r>
    </w:p>
    <w:p>
      <w:pPr>
        <w:pStyle w:val="Heading2"/>
        <w:spacing w:after="140" w:before="320"/>
      </w:pPr>
      <w:r>
        <w:rPr>
          <w:rFonts w:ascii="Arial" w:cs="Arial" w:eastAsia="Arial" w:hAnsi="Arial"/>
          <w:b/>
          <w:bCs/>
          <w:color w:val="2E75B6"/>
          <w:sz w:val="28"/>
          <w:szCs w:val="28"/>
        </w:rPr>
        <w:t xml:space="preserve">6.2  Gradient Boosting Triumvirate — CatBoost, LightGBM, XGBoost (Block 14)</w:t>
      </w:r>
    </w:p>
    <w:p>
      <w:pPr>
        <w:spacing w:after="120" w:before="0"/>
        <w:jc w:val="both"/>
      </w:pPr>
      <w:r>
        <w:rPr>
          <w:rFonts w:ascii="Arial" w:cs="Arial" w:eastAsia="Arial" w:hAnsi="Arial"/>
          <w:b w:val="false"/>
          <w:bCs w:val="false"/>
          <w:i w:val="false"/>
          <w:iCs w:val="false"/>
          <w:color w:val="000000"/>
          <w:sz w:val="22"/>
          <w:szCs w:val="22"/>
        </w:rPr>
        <w:t xml:space="preserve">Three state-of-the-art gradient-boosting implementations are independently hyperparameter-tuned via RandomizedSearchCV (20 sampled configurations, 3-fold cross-validation, scoring='f1_weighted') — chosen specifically because each library optimises a structurally different tree-growth strategy, giving the tournament three qualitatively distinct boosting perspectives rather than three near-duplicate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460"/>
      </w:tblGrid>
      <w:tr>
        <w:trPr>
          <w:tblHeader/>
        </w:trPr>
        <w:tc>
          <w:tcPr>
            <w:tcW w:type="dxa" w:w="15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vAlign w:val="center"/>
          </w:tcPr>
          <w:p>
            <w:r>
              <w:rPr>
                <w:rFonts w:ascii="Arial" w:cs="Arial" w:eastAsia="Arial" w:hAnsi="Arial"/>
                <w:b/>
                <w:bCs/>
                <w:color w:val="1E3A5F"/>
                <w:sz w:val="20"/>
                <w:szCs w:val="20"/>
              </w:rPr>
              <w:t xml:space="preserve">Model</w:t>
            </w:r>
          </w:p>
        </w:tc>
        <w:tc>
          <w:tcPr>
            <w:tcW w:type="dxa" w:w="24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vAlign w:val="center"/>
          </w:tcPr>
          <w:p>
            <w:r>
              <w:rPr>
                <w:rFonts w:ascii="Arial" w:cs="Arial" w:eastAsia="Arial" w:hAnsi="Arial"/>
                <w:b/>
                <w:bCs/>
                <w:color w:val="1E3A5F"/>
                <w:sz w:val="20"/>
                <w:szCs w:val="20"/>
              </w:rPr>
              <w:t xml:space="preserve">Growth Strategy</w:t>
            </w:r>
          </w:p>
        </w:tc>
        <w:tc>
          <w:tcPr>
            <w:tcW w:type="dxa" w:w="546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vAlign w:val="center"/>
          </w:tcPr>
          <w:p>
            <w:r>
              <w:rPr>
                <w:rFonts w:ascii="Arial" w:cs="Arial" w:eastAsia="Arial" w:hAnsi="Arial"/>
                <w:b/>
                <w:bCs/>
                <w:color w:val="1E3A5F"/>
                <w:sz w:val="20"/>
                <w:szCs w:val="20"/>
              </w:rPr>
              <w:t xml:space="preserve">RandomizedSearchCV Grid (n_iter=20, cv=3, scoring=f1_weighted)</w:t>
            </w:r>
          </w:p>
        </w:tc>
      </w:tr>
      <w:tr>
        <w:tc>
          <w:tcPr>
            <w:tcW w:type="dxa" w:w="15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CatBoost</w:t>
            </w:r>
          </w:p>
        </w:tc>
        <w:tc>
          <w:tcPr>
            <w:tcW w:type="dxa" w:w="2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Ordered boosting, symmetric (oblivious) trees — reduces prediction shift / target leakage inherent to classical gradient boosting.</w:t>
            </w:r>
          </w:p>
        </w:tc>
        <w:tc>
          <w:tcPr>
            <w:tcW w:type="dxa" w:w="54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depth ∈ {4,6,8}; learning_rate ∈ {0.03,0.05,0.1,0.2}; iterations ∈ {200,400,600}; l2_leaf_reg ∈ {1,3,5,7}. Base estimator: auto_class_weights='Balanced'.</w:t>
            </w:r>
          </w:p>
        </w:tc>
      </w:tr>
      <w:tr>
        <w:tc>
          <w:tcPr>
            <w:tcW w:type="dxa" w:w="15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LightGBM</w:t>
            </w:r>
          </w:p>
        </w:tc>
        <w:tc>
          <w:tcPr>
            <w:tcW w:type="dxa" w:w="2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Leaf-wise (best-first) tree growth with Gradient-based One-Side Sampling — faster convergence, higher variance risk than level-wise growth.</w:t>
            </w:r>
          </w:p>
        </w:tc>
        <w:tc>
          <w:tcPr>
            <w:tcW w:type="dxa" w:w="54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num_leaves ∈ {15,31,50}; learning_rate ∈ {0.03,0.05,0.1,0.2}; n_estimators ∈ {200,400,600}; max_depth ∈ {3,5,7,−1}; min_child_samples ∈ {5,10,20}. Base estimator: class_weight='balanced'.</w:t>
            </w:r>
          </w:p>
        </w:tc>
      </w:tr>
      <w:tr>
        <w:tc>
          <w:tcPr>
            <w:tcW w:type="dxa" w:w="15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XGBoost</w:t>
            </w:r>
          </w:p>
        </w:tc>
        <w:tc>
          <w:tcPr>
            <w:tcW w:type="dxa" w:w="2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Level-wise (depth-wise) tree growth with explicit L1/L2 regularisation on leaf weights.</w:t>
            </w:r>
          </w:p>
        </w:tc>
        <w:tc>
          <w:tcPr>
            <w:tcW w:type="dxa" w:w="54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max_depth ∈ {3,5,7,9}; learning_rate ∈ {0.03,0.05,0.1,0.2}; n_estimators ∈ {200,400,600}; subsample ∈ {0.7,0.8,0.9,1.0}; colsample_bytree ∈ {0.7,0.8,0.9,1.0}. Class imbalance handled via compute_sample_weight('balanced', y_train) passed as sample_weight (XGBClassifier has no native class_weight parameter); objective='multi:softprob', eval_metric='mlogloss'.</w:t>
            </w:r>
          </w:p>
        </w:tc>
      </w:tr>
    </w:tbl>
    <w:p>
      <w:pPr>
        <w:spacing w:after="140"/>
      </w:pPr>
    </w:p>
    <w:p>
      <w:pPr>
        <w:pStyle w:val="Heading2"/>
        <w:spacing w:after="140" w:before="320"/>
      </w:pPr>
      <w:r>
        <w:rPr>
          <w:rFonts w:ascii="Arial" w:cs="Arial" w:eastAsia="Arial" w:hAnsi="Arial"/>
          <w:b/>
          <w:bCs/>
          <w:color w:val="2E75B6"/>
          <w:sz w:val="28"/>
          <w:szCs w:val="28"/>
        </w:rPr>
        <w:t xml:space="preserve">6.3  Soft-Vote Ensemble Construction (Block 18)</w:t>
      </w:r>
    </w:p>
    <w:p>
      <w:pPr>
        <w:spacing w:after="120" w:before="0"/>
        <w:jc w:val="both"/>
      </w:pPr>
      <w:r>
        <w:rPr>
          <w:rFonts w:ascii="Arial" w:cs="Arial" w:eastAsia="Arial" w:hAnsi="Arial"/>
          <w:b w:val="false"/>
          <w:bCs w:val="false"/>
          <w:i w:val="false"/>
          <w:iCs w:val="false"/>
          <w:color w:val="000000"/>
          <w:sz w:val="22"/>
          <w:szCs w:val="22"/>
        </w:rPr>
        <w:t xml:space="preserve">After all seven individually-trained models (the two baselines plus three boosted trees plus two neural networks, evaluated in Section 7) are scored on the validation partition, the three highest-scoring sklearn-compatible models (Keras networks are excluded, since averaging softmax outputs across frameworks introduces no additional diversity benefit worth the added serialisation complexity) are combined via unweighted soft voting — arithmetic averaging of class-probability vectors: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BF4FB" w:color="auto" w:val="clear"/>
            <w:tcMar>
              <w:top w:type="dxa" w:w="100"/>
              <w:left w:type="dxa" w:w="140"/>
              <w:bottom w:type="dxa" w:w="100"/>
              <w:right w:type="dxa" w:w="140"/>
            </w:tcMar>
          </w:tcPr>
          <w:p>
            <w:pPr>
              <w:spacing w:after="40"/>
            </w:pPr>
            <w:r>
              <w:rPr>
                <w:rFonts w:ascii="Courier New" w:cs="Courier New" w:eastAsia="Courier New" w:hAnsi="Courier New"/>
                <w:color w:val="1E3A5F"/>
                <w:sz w:val="20"/>
                <w:szCs w:val="20"/>
              </w:rPr>
              <w:t xml:space="preserve">top3_names = sorted(sklearn_models, key=sklearn_models.get, reverse=True)[:3]</w:t>
            </w:r>
          </w:p>
          <w:p>
            <w:pPr>
              <w:spacing w:after="40"/>
            </w:pPr>
            <w:r>
              <w:rPr>
                <w:rFonts w:ascii="Courier New" w:cs="Courier New" w:eastAsia="Courier New" w:hAnsi="Courier New"/>
                <w:color w:val="1E3A5F"/>
                <w:sz w:val="20"/>
                <w:szCs w:val="20"/>
              </w:rPr>
              <w:t xml:space="preserve"/>
            </w:r>
          </w:p>
          <w:p>
            <w:pPr>
              <w:spacing w:after="40"/>
            </w:pPr>
            <w:r>
              <w:rPr>
                <w:rFonts w:ascii="Courier New" w:cs="Courier New" w:eastAsia="Courier New" w:hAnsi="Courier New"/>
                <w:color w:val="1E3A5F"/>
                <w:sz w:val="20"/>
                <w:szCs w:val="20"/>
              </w:rPr>
              <w:t xml:space="preserve">ensemble_probs = np.mean(</w:t>
            </w:r>
          </w:p>
          <w:p>
            <w:pPr>
              <w:spacing w:after="40"/>
            </w:pPr>
            <w:r>
              <w:rPr>
                <w:rFonts w:ascii="Courier New" w:cs="Courier New" w:eastAsia="Courier New" w:hAnsi="Courier New"/>
                <w:color w:val="1E3A5F"/>
                <w:sz w:val="20"/>
                <w:szCs w:val="20"/>
              </w:rPr>
              <w:t xml:space="preserve">    [trained_models[name].predict_proba(X) for name in top3_names], axis=0)</w:t>
            </w:r>
          </w:p>
          <w:p>
            <w:pPr>
              <w:spacing w:after="40"/>
            </w:pPr>
            <w:r>
              <w:rPr>
                <w:rFonts w:ascii="Courier New" w:cs="Courier New" w:eastAsia="Courier New" w:hAnsi="Courier New"/>
                <w:color w:val="1E3A5F"/>
                <w:sz w:val="20"/>
                <w:szCs w:val="20"/>
              </w:rPr>
              <w:t xml:space="preserve">ensemble_pred  = np.argmax(ensemble_probs, axis=1)</w:t>
            </w:r>
          </w:p>
        </w:tc>
      </w:tr>
    </w:tbl>
    <w:p>
      <w:pPr>
        <w:spacing w:after="140"/>
      </w:pPr>
    </w:p>
    <w:p>
      <w:pPr>
        <w:spacing w:after="120" w:before="0"/>
        <w:jc w:val="both"/>
      </w:pPr>
      <w:r>
        <w:rPr>
          <w:rFonts w:ascii="Arial" w:cs="Arial" w:eastAsia="Arial" w:hAnsi="Arial"/>
          <w:b w:val="false"/>
          <w:bCs w:val="false"/>
          <w:i w:val="false"/>
          <w:iCs w:val="false"/>
          <w:color w:val="000000"/>
          <w:sz w:val="22"/>
          <w:szCs w:val="22"/>
        </w:rPr>
        <w:t xml:space="preserve">Soft voting (probability averaging) is preferred over hard voting (majority label vote) because it preserves each constituent model's confidence calibration and remains well-defined even when the three models disagree 2-1, producing a smoother, better-calibrated aggregate decision boundary than a discrete vote count would.</w:t>
      </w:r>
    </w:p>
    <w:p>
      <w:pPr>
        <w:pStyle w:val="Heading1"/>
        <w:pBdr>
          <w:bottom w:val="single" w:color="2E75B6" w:sz="6" w:space="1"/>
        </w:pBdr>
        <w:spacing w:after="200" w:before="480"/>
      </w:pPr>
      <w:r>
        <w:rPr>
          <w:rFonts w:ascii="Arial" w:cs="Arial" w:eastAsia="Arial" w:hAnsi="Arial"/>
          <w:b/>
          <w:bCs/>
          <w:caps/>
          <w:color w:val="1E3A5F"/>
          <w:sz w:val="36"/>
          <w:szCs w:val="36"/>
        </w:rPr>
        <w:t xml:space="preserve">7.  Deep Learning Model Development</w:t>
      </w:r>
    </w:p>
    <w:p>
      <w:pPr>
        <w:pStyle w:val="Heading2"/>
        <w:spacing w:after="140" w:before="320"/>
      </w:pPr>
      <w:r>
        <w:rPr>
          <w:rFonts w:ascii="Arial" w:cs="Arial" w:eastAsia="Arial" w:hAnsi="Arial"/>
          <w:b/>
          <w:bCs/>
          <w:color w:val="2E75B6"/>
          <w:sz w:val="28"/>
          <w:szCs w:val="28"/>
        </w:rPr>
        <w:t xml:space="preserve">7.1  MLP Classifier Architecture (Block 15)</w:t>
      </w:r>
    </w:p>
    <w:p>
      <w:pPr>
        <w:spacing w:after="120" w:before="0"/>
        <w:jc w:val="both"/>
      </w:pPr>
      <w:r>
        <w:rPr>
          <w:rFonts w:ascii="Arial" w:cs="Arial" w:eastAsia="Arial" w:hAnsi="Arial"/>
          <w:b w:val="false"/>
          <w:bCs w:val="false"/>
          <w:i w:val="false"/>
          <w:iCs w:val="false"/>
          <w:color w:val="000000"/>
          <w:sz w:val="22"/>
          <w:szCs w:val="22"/>
        </w:rPr>
        <w:t xml:space="preserve">A three-hidden-layer feedforward network with progressively narrowing width, BatchNormalization, and Dropout regularisation was constructed using TensorFlow/Keras — a conventional, well-regularised multilayer perceptron serving as the deep-learning baseline against the more exotic Swish-activated network of Section 7.2.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960"/>
      </w:tblGrid>
      <w:tr>
        <w:trPr>
          <w:tblHeader/>
        </w:trPr>
        <w:tc>
          <w:tcPr>
            <w:tcW w:type="dxa" w:w="16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vAlign w:val="center"/>
          </w:tcPr>
          <w:p>
            <w:r>
              <w:rPr>
                <w:rFonts w:ascii="Arial" w:cs="Arial" w:eastAsia="Arial" w:hAnsi="Arial"/>
                <w:b/>
                <w:bCs/>
                <w:color w:val="1E3A5F"/>
                <w:sz w:val="20"/>
                <w:szCs w:val="20"/>
              </w:rPr>
              <w:t xml:space="preserve">Layer</w:t>
            </w:r>
          </w:p>
        </w:tc>
        <w:tc>
          <w:tcPr>
            <w:tcW w:type="dxa" w:w="18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vAlign w:val="center"/>
          </w:tcPr>
          <w:p>
            <w:r>
              <w:rPr>
                <w:rFonts w:ascii="Arial" w:cs="Arial" w:eastAsia="Arial" w:hAnsi="Arial"/>
                <w:b/>
                <w:bCs/>
                <w:color w:val="1E3A5F"/>
                <w:sz w:val="20"/>
                <w:szCs w:val="20"/>
              </w:rPr>
              <w:t xml:space="preserve">Type</w:t>
            </w:r>
          </w:p>
        </w:tc>
        <w:tc>
          <w:tcPr>
            <w:tcW w:type="dxa" w:w="596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vAlign w:val="center"/>
          </w:tcPr>
          <w:p>
            <w:r>
              <w:rPr>
                <w:rFonts w:ascii="Arial" w:cs="Arial" w:eastAsia="Arial" w:hAnsi="Arial"/>
                <w:b/>
                <w:bCs/>
                <w:color w:val="1E3A5F"/>
                <w:sz w:val="20"/>
                <w:szCs w:val="20"/>
              </w:rPr>
              <w:t xml:space="preserve">Parameters &amp; Notes</w:t>
            </w:r>
          </w:p>
        </w:tc>
      </w:tr>
      <w:tr>
        <w:tc>
          <w:tcPr>
            <w:tcW w:type="dxa" w:w="16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Input</w:t>
            </w:r>
          </w:p>
        </w:tc>
        <w:tc>
          <w:tcPr>
            <w:tcW w:type="dxa" w:w="1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Implicit</w:t>
            </w:r>
          </w:p>
        </w:tc>
        <w:tc>
          <w:tcPr>
            <w:tcW w:type="dxa" w:w="59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Shape: (input_dim,) — up to 22 scaled features (Section 5.4).</w:t>
            </w:r>
          </w:p>
        </w:tc>
      </w:tr>
      <w:tr>
        <w:tc>
          <w:tcPr>
            <w:tcW w:type="dxa" w:w="16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Dense-1</w:t>
            </w:r>
          </w:p>
        </w:tc>
        <w:tc>
          <w:tcPr>
            <w:tcW w:type="dxa" w:w="1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Dense(256, relu)</w:t>
            </w:r>
          </w:p>
        </w:tc>
        <w:tc>
          <w:tcPr>
            <w:tcW w:type="dxa" w:w="59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ReLU activation: f(x) = max(0, x).</w:t>
            </w:r>
          </w:p>
        </w:tc>
      </w:tr>
      <w:tr>
        <w:tc>
          <w:tcPr>
            <w:tcW w:type="dxa" w:w="16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BatchNorm-1</w:t>
            </w:r>
          </w:p>
        </w:tc>
        <w:tc>
          <w:tcPr>
            <w:tcW w:type="dxa" w:w="1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BatchNormalization()</w:t>
            </w:r>
          </w:p>
        </w:tc>
        <w:tc>
          <w:tcPr>
            <w:tcW w:type="dxa" w:w="59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Normalises layer activations to zero mean / unit variance per mini-batch, then applies a learned scale/shift — accelerates convergence and provides mild regularisation.</w:t>
            </w:r>
          </w:p>
        </w:tc>
      </w:tr>
      <w:tr>
        <w:tc>
          <w:tcPr>
            <w:tcW w:type="dxa" w:w="16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Dropout-1</w:t>
            </w:r>
          </w:p>
        </w:tc>
        <w:tc>
          <w:tcPr>
            <w:tcW w:type="dxa" w:w="1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Dropout(0.4)</w:t>
            </w:r>
          </w:p>
        </w:tc>
        <w:tc>
          <w:tcPr>
            <w:tcW w:type="dxa" w:w="59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Randomly zeroes 40% of Dense-1 outputs each training step.</w:t>
            </w:r>
          </w:p>
        </w:tc>
      </w:tr>
      <w:tr>
        <w:tc>
          <w:tcPr>
            <w:tcW w:type="dxa" w:w="16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Dense-2</w:t>
            </w:r>
          </w:p>
        </w:tc>
        <w:tc>
          <w:tcPr>
            <w:tcW w:type="dxa" w:w="1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Dense(128, relu)</w:t>
            </w:r>
          </w:p>
        </w:tc>
        <w:tc>
          <w:tcPr>
            <w:tcW w:type="dxa" w:w="59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 BatchNormalization() + Dropout(0.3).</w:t>
            </w:r>
          </w:p>
        </w:tc>
      </w:tr>
      <w:tr>
        <w:tc>
          <w:tcPr>
            <w:tcW w:type="dxa" w:w="16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Dense-3</w:t>
            </w:r>
          </w:p>
        </w:tc>
        <w:tc>
          <w:tcPr>
            <w:tcW w:type="dxa" w:w="1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Dense(64, relu)</w:t>
            </w:r>
          </w:p>
        </w:tc>
        <w:tc>
          <w:tcPr>
            <w:tcW w:type="dxa" w:w="59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 Dropout(0.2) (no BatchNorm on the final hidden layer).</w:t>
            </w:r>
          </w:p>
        </w:tc>
      </w:tr>
      <w:tr>
        <w:tc>
          <w:tcPr>
            <w:tcW w:type="dxa" w:w="16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Output</w:t>
            </w:r>
          </w:p>
        </w:tc>
        <w:tc>
          <w:tcPr>
            <w:tcW w:type="dxa" w:w="1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Dense(6, softmax)</w:t>
            </w:r>
          </w:p>
        </w:tc>
        <w:tc>
          <w:tcPr>
            <w:tcW w:type="dxa" w:w="59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Six-way class-probability vector; softmax_k(z) = exp(z_k) / Σⱼ exp(zⱼ).</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BF4FB" w:color="auto" w:val="clear"/>
            <w:tcMar>
              <w:top w:type="dxa" w:w="100"/>
              <w:left w:type="dxa" w:w="140"/>
              <w:bottom w:type="dxa" w:w="100"/>
              <w:right w:type="dxa" w:w="140"/>
            </w:tcMar>
          </w:tcPr>
          <w:p>
            <w:pPr>
              <w:spacing w:after="40"/>
            </w:pPr>
            <w:r>
              <w:rPr>
                <w:rFonts w:ascii="Courier New" w:cs="Courier New" w:eastAsia="Courier New" w:hAnsi="Courier New"/>
                <w:color w:val="1E3A5F"/>
                <w:sz w:val="20"/>
                <w:szCs w:val="20"/>
              </w:rPr>
              <w:t xml:space="preserve">mlp_model.compile(optimizer='adam',</w:t>
            </w:r>
          </w:p>
          <w:p>
            <w:pPr>
              <w:spacing w:after="40"/>
            </w:pPr>
            <w:r>
              <w:rPr>
                <w:rFonts w:ascii="Courier New" w:cs="Courier New" w:eastAsia="Courier New" w:hAnsi="Courier New"/>
                <w:color w:val="1E3A5F"/>
                <w:sz w:val="20"/>
                <w:szCs w:val="20"/>
              </w:rPr>
              <w:t xml:space="preserve">                   loss='sparse_categorical_crossentropy', metrics=['accuracy'])</w:t>
            </w:r>
          </w:p>
          <w:p>
            <w:pPr>
              <w:spacing w:after="40"/>
            </w:pPr>
            <w:r>
              <w:rPr>
                <w:rFonts w:ascii="Courier New" w:cs="Courier New" w:eastAsia="Courier New" w:hAnsi="Courier New"/>
                <w:color w:val="1E3A5F"/>
                <w:sz w:val="20"/>
                <w:szCs w:val="20"/>
              </w:rPr>
              <w:t xml:space="preserve"/>
            </w:r>
          </w:p>
          <w:p>
            <w:pPr>
              <w:spacing w:after="40"/>
            </w:pPr>
            <w:r>
              <w:rPr>
                <w:rFonts w:ascii="Courier New" w:cs="Courier New" w:eastAsia="Courier New" w:hAnsi="Courier New"/>
                <w:color w:val="1E3A5F"/>
                <w:sz w:val="20"/>
                <w:szCs w:val="20"/>
              </w:rPr>
              <w:t xml:space="preserve">callbacks = [</w:t>
            </w:r>
          </w:p>
          <w:p>
            <w:pPr>
              <w:spacing w:after="40"/>
            </w:pPr>
            <w:r>
              <w:rPr>
                <w:rFonts w:ascii="Courier New" w:cs="Courier New" w:eastAsia="Courier New" w:hAnsi="Courier New"/>
                <w:color w:val="1E3A5F"/>
                <w:sz w:val="20"/>
                <w:szCs w:val="20"/>
              </w:rPr>
              <w:t xml:space="preserve">    EarlyStopping(monitor='val_loss', patience=15, restore_best_weights=True),</w:t>
            </w:r>
          </w:p>
          <w:p>
            <w:pPr>
              <w:spacing w:after="40"/>
            </w:pPr>
            <w:r>
              <w:rPr>
                <w:rFonts w:ascii="Courier New" w:cs="Courier New" w:eastAsia="Courier New" w:hAnsi="Courier New"/>
                <w:color w:val="1E3A5F"/>
                <w:sz w:val="20"/>
                <w:szCs w:val="20"/>
              </w:rPr>
              <w:t xml:space="preserve">    ReduceLROnPlateau(monitor='val_loss', factor=0.5, patience=5, min_lr=1e-6),</w:t>
            </w:r>
          </w:p>
          <w:p>
            <w:pPr>
              <w:spacing w:after="40"/>
            </w:pPr>
            <w:r>
              <w:rPr>
                <w:rFonts w:ascii="Courier New" w:cs="Courier New" w:eastAsia="Courier New" w:hAnsi="Courier New"/>
                <w:color w:val="1E3A5F"/>
                <w:sz w:val="20"/>
                <w:szCs w:val="20"/>
              </w:rPr>
              <w:t xml:space="preserve">]</w:t>
            </w:r>
          </w:p>
          <w:p>
            <w:pPr>
              <w:spacing w:after="40"/>
            </w:pPr>
            <w:r>
              <w:rPr>
                <w:rFonts w:ascii="Courier New" w:cs="Courier New" w:eastAsia="Courier New" w:hAnsi="Courier New"/>
                <w:color w:val="1E3A5F"/>
                <w:sz w:val="20"/>
                <w:szCs w:val="20"/>
              </w:rPr>
              <w:t xml:space="preserve">mlp_model.fit(X_train_scaled, y_train, validation_data=(X_val_scaled, y_val),</w:t>
            </w:r>
          </w:p>
          <w:p>
            <w:pPr>
              <w:spacing w:after="40"/>
            </w:pPr>
            <w:r>
              <w:rPr>
                <w:rFonts w:ascii="Courier New" w:cs="Courier New" w:eastAsia="Courier New" w:hAnsi="Courier New"/>
                <w:color w:val="1E3A5F"/>
                <w:sz w:val="20"/>
                <w:szCs w:val="20"/>
              </w:rPr>
              <w:t xml:space="preserve">              epochs=200, batch_size=32, callbacks=callbacks)</w:t>
            </w:r>
          </w:p>
        </w:tc>
      </w:tr>
    </w:tbl>
    <w:p>
      <w:pPr>
        <w:spacing w:after="140"/>
      </w:pPr>
    </w:p>
    <w:p>
      <w:pPr>
        <w:pStyle w:val="Heading2"/>
        <w:spacing w:after="140" w:before="320"/>
      </w:pPr>
      <w:r>
        <w:rPr>
          <w:rFonts w:ascii="Arial" w:cs="Arial" w:eastAsia="Arial" w:hAnsi="Arial"/>
          <w:b/>
          <w:bCs/>
          <w:color w:val="2E75B6"/>
          <w:sz w:val="28"/>
          <w:szCs w:val="28"/>
        </w:rPr>
        <w:t xml:space="preserve">7.2  Swish-Activated Deep Network (Block 16)</w:t>
      </w:r>
    </w:p>
    <w:p>
      <w:pPr>
        <w:spacing w:after="120" w:before="0"/>
        <w:jc w:val="both"/>
      </w:pPr>
      <w:r>
        <w:rPr>
          <w:rFonts w:ascii="Arial" w:cs="Arial" w:eastAsia="Arial" w:hAnsi="Arial"/>
          <w:b w:val="false"/>
          <w:bCs w:val="false"/>
          <w:i w:val="false"/>
          <w:iCs w:val="false"/>
          <w:color w:val="000000"/>
          <w:sz w:val="22"/>
          <w:szCs w:val="22"/>
        </w:rPr>
        <w:t xml:space="preserve">A deeper, wider alternative network replaces ReLU with the Swish (SiLU) activation — a smooth, non-monotonic function that avoids the “dying ReLU” failure mode (permanently zero gradient for negative pre-activations) while remaining computationally cheap: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BF4FB" w:color="auto" w:val="clear"/>
            <w:tcMar>
              <w:top w:type="dxa" w:w="100"/>
              <w:left w:type="dxa" w:w="140"/>
              <w:bottom w:type="dxa" w:w="100"/>
              <w:right w:type="dxa" w:w="140"/>
            </w:tcMar>
          </w:tcPr>
          <w:p>
            <w:pPr>
              <w:spacing w:after="40"/>
            </w:pPr>
            <w:r>
              <w:rPr>
                <w:rFonts w:ascii="Courier New" w:cs="Courier New" w:eastAsia="Courier New" w:hAnsi="Courier New"/>
                <w:color w:val="1E3A5F"/>
                <w:sz w:val="20"/>
                <w:szCs w:val="20"/>
              </w:rPr>
              <w:t xml:space="preserve">Swish(x) = x · σ(x) = x / (1 + e⁻ˣ)          — Ramachandran, Zoph &amp; Le (2017)</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960"/>
      </w:tblGrid>
      <w:tr>
        <w:trPr>
          <w:tblHeader/>
        </w:trPr>
        <w:tc>
          <w:tcPr>
            <w:tcW w:type="dxa" w:w="16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vAlign w:val="center"/>
          </w:tcPr>
          <w:p>
            <w:r>
              <w:rPr>
                <w:rFonts w:ascii="Arial" w:cs="Arial" w:eastAsia="Arial" w:hAnsi="Arial"/>
                <w:b/>
                <w:bCs/>
                <w:color w:val="1E3A5F"/>
                <w:sz w:val="20"/>
                <w:szCs w:val="20"/>
              </w:rPr>
              <w:t xml:space="preserve">Layer</w:t>
            </w:r>
          </w:p>
        </w:tc>
        <w:tc>
          <w:tcPr>
            <w:tcW w:type="dxa" w:w="18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vAlign w:val="center"/>
          </w:tcPr>
          <w:p>
            <w:r>
              <w:rPr>
                <w:rFonts w:ascii="Arial" w:cs="Arial" w:eastAsia="Arial" w:hAnsi="Arial"/>
                <w:b/>
                <w:bCs/>
                <w:color w:val="1E3A5F"/>
                <w:sz w:val="20"/>
                <w:szCs w:val="20"/>
              </w:rPr>
              <w:t xml:space="preserve">Type</w:t>
            </w:r>
          </w:p>
        </w:tc>
        <w:tc>
          <w:tcPr>
            <w:tcW w:type="dxa" w:w="596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vAlign w:val="center"/>
          </w:tcPr>
          <w:p>
            <w:r>
              <w:rPr>
                <w:rFonts w:ascii="Arial" w:cs="Arial" w:eastAsia="Arial" w:hAnsi="Arial"/>
                <w:b/>
                <w:bCs/>
                <w:color w:val="1E3A5F"/>
                <w:sz w:val="20"/>
                <w:szCs w:val="20"/>
              </w:rPr>
              <w:t xml:space="preserve">Parameters &amp; Notes</w:t>
            </w:r>
          </w:p>
        </w:tc>
      </w:tr>
      <w:tr>
        <w:tc>
          <w:tcPr>
            <w:tcW w:type="dxa" w:w="16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Dense-1</w:t>
            </w:r>
          </w:p>
        </w:tc>
        <w:tc>
          <w:tcPr>
            <w:tcW w:type="dxa" w:w="1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Dense(512, swish)</w:t>
            </w:r>
          </w:p>
        </w:tc>
        <w:tc>
          <w:tcPr>
            <w:tcW w:type="dxa" w:w="59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 BatchNormalization() + Dropout(0.5) — the widest layer and heaviest dropout in the whole tournament, reflecting the larger capacity/overfitting trade-off of a 512-unit first layer.</w:t>
            </w:r>
          </w:p>
        </w:tc>
      </w:tr>
      <w:tr>
        <w:tc>
          <w:tcPr>
            <w:tcW w:type="dxa" w:w="16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Dense-2</w:t>
            </w:r>
          </w:p>
        </w:tc>
        <w:tc>
          <w:tcPr>
            <w:tcW w:type="dxa" w:w="1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Dense(256, swish)</w:t>
            </w:r>
          </w:p>
        </w:tc>
        <w:tc>
          <w:tcPr>
            <w:tcW w:type="dxa" w:w="59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 BatchNormalization() + Dropout(0.4).</w:t>
            </w:r>
          </w:p>
        </w:tc>
      </w:tr>
      <w:tr>
        <w:tc>
          <w:tcPr>
            <w:tcW w:type="dxa" w:w="16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Dense-3</w:t>
            </w:r>
          </w:p>
        </w:tc>
        <w:tc>
          <w:tcPr>
            <w:tcW w:type="dxa" w:w="1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Dense(128, swish)</w:t>
            </w:r>
          </w:p>
        </w:tc>
        <w:tc>
          <w:tcPr>
            <w:tcW w:type="dxa" w:w="59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 BatchNormalization() + Dropout(0.3).</w:t>
            </w:r>
          </w:p>
        </w:tc>
      </w:tr>
      <w:tr>
        <w:tc>
          <w:tcPr>
            <w:tcW w:type="dxa" w:w="16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Dense-4</w:t>
            </w:r>
          </w:p>
        </w:tc>
        <w:tc>
          <w:tcPr>
            <w:tcW w:type="dxa" w:w="1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Dense(64, swish)</w:t>
            </w:r>
          </w:p>
        </w:tc>
        <w:tc>
          <w:tcPr>
            <w:tcW w:type="dxa" w:w="59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 Dropout(0.2).</w:t>
            </w:r>
          </w:p>
        </w:tc>
      </w:tr>
      <w:tr>
        <w:tc>
          <w:tcPr>
            <w:tcW w:type="dxa" w:w="16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Output</w:t>
            </w:r>
          </w:p>
        </w:tc>
        <w:tc>
          <w:tcPr>
            <w:tcW w:type="dxa" w:w="1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Dense(6, softmax)</w:t>
            </w:r>
          </w:p>
        </w:tc>
        <w:tc>
          <w:tcPr>
            <w:tcW w:type="dxa" w:w="59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Identical output contract to the MLP for direct comparability.</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BF4FB" w:color="auto" w:val="clear"/>
            <w:tcMar>
              <w:top w:type="dxa" w:w="100"/>
              <w:left w:type="dxa" w:w="140"/>
              <w:bottom w:type="dxa" w:w="100"/>
              <w:right w:type="dxa" w:w="140"/>
            </w:tcMar>
          </w:tcPr>
          <w:p>
            <w:pPr>
              <w:spacing w:after="40"/>
            </w:pPr>
            <w:r>
              <w:rPr>
                <w:rFonts w:ascii="Courier New" w:cs="Courier New" w:eastAsia="Courier New" w:hAnsi="Courier New"/>
                <w:color w:val="1E3A5F"/>
                <w:sz w:val="20"/>
                <w:szCs w:val="20"/>
              </w:rPr>
              <w:t xml:space="preserve">swish_model.compile(optimizer=keras.optimizers.RMSprop(learning_rate=1e-3),</w:t>
            </w:r>
          </w:p>
          <w:p>
            <w:pPr>
              <w:spacing w:after="40"/>
            </w:pPr>
            <w:r>
              <w:rPr>
                <w:rFonts w:ascii="Courier New" w:cs="Courier New" w:eastAsia="Courier New" w:hAnsi="Courier New"/>
                <w:color w:val="1E3A5F"/>
                <w:sz w:val="20"/>
                <w:szCs w:val="20"/>
              </w:rPr>
              <w:t xml:space="preserve">                     loss='sparse_categorical_crossentropy', metrics=['accuracy'])</w:t>
            </w:r>
          </w:p>
          <w:p>
            <w:pPr>
              <w:spacing w:after="40"/>
            </w:pPr>
            <w:r>
              <w:rPr>
                <w:rFonts w:ascii="Courier New" w:cs="Courier New" w:eastAsia="Courier New" w:hAnsi="Courier New"/>
                <w:color w:val="1E3A5F"/>
                <w:sz w:val="20"/>
                <w:szCs w:val="20"/>
              </w:rPr>
              <w:t xml:space="preserve"># Same EarlyStopping(patience=15) + ReduceLROnPlateau callbacks as the MLP.</w:t>
            </w:r>
          </w:p>
          <w:p>
            <w:pPr>
              <w:spacing w:after="40"/>
            </w:pPr>
            <w:r>
              <w:rPr>
                <w:rFonts w:ascii="Courier New" w:cs="Courier New" w:eastAsia="Courier New" w:hAnsi="Courier New"/>
                <w:color w:val="1E3A5F"/>
                <w:sz w:val="20"/>
                <w:szCs w:val="20"/>
              </w:rPr>
              <w:t xml:space="preserve"># epochs=200, batch_size=32 — identical training budget for a fair architecture comparison.</w:t>
            </w:r>
          </w:p>
        </w:tc>
      </w:tr>
    </w:tbl>
    <w:p>
      <w:pPr>
        <w:spacing w:after="140"/>
      </w:pPr>
    </w:p>
    <w:p>
      <w:pPr>
        <w:pStyle w:val="Heading2"/>
        <w:spacing w:after="140" w:before="320"/>
      </w:pPr>
      <w:r>
        <w:rPr>
          <w:rFonts w:ascii="Arial" w:cs="Arial" w:eastAsia="Arial" w:hAnsi="Arial"/>
          <w:b/>
          <w:bCs/>
          <w:color w:val="2E75B6"/>
          <w:sz w:val="28"/>
          <w:szCs w:val="28"/>
        </w:rPr>
        <w:t xml:space="preserve">7.3  Training Dynamics — Callbacks, Regularisation &amp; Loss Curves (Block 17)</w:t>
      </w:r>
    </w:p>
    <w:p>
      <w:pPr>
        <w:spacing w:after="120" w:before="0"/>
        <w:jc w:val="both"/>
      </w:pPr>
      <w:r>
        <w:rPr>
          <w:rFonts w:ascii="Arial" w:cs="Arial" w:eastAsia="Arial" w:hAnsi="Arial"/>
          <w:b w:val="false"/>
          <w:bCs w:val="false"/>
          <w:i w:val="false"/>
          <w:iCs w:val="false"/>
          <w:color w:val="000000"/>
          <w:sz w:val="22"/>
          <w:szCs w:val="22"/>
        </w:rPr>
        <w:t xml:space="preserve">Both networks share an identical regularisation and callback philosophy, isolating activation function and optimiser choice (Adam vs. RMSprop) as the primary experimental variable between them:</w:t>
      </w:r>
    </w:p>
    <w:p>
      <w:pPr>
        <w:pStyle w:val="ListParagraph"/>
        <w:numPr>
          <w:ilvl w:val="0"/>
          <w:numId w:val="1"/>
        </w:numPr>
        <w:spacing w:after="80"/>
        <w:jc w:val="both"/>
      </w:pPr>
      <w:r>
        <w:rPr>
          <w:rFonts w:ascii="Arial" w:cs="Arial" w:eastAsia="Arial" w:hAnsi="Arial"/>
          <w:sz w:val="22"/>
          <w:szCs w:val="22"/>
        </w:rPr>
        <w:t xml:space="preserve">Sparse Categorical Cross-Entropy Loss: L = −log(pŷ), where pŷ is the softmax probability assigned to the true class index — the standard loss for integer-encoded (non-one-hot) multi-class targets, matching the LabelEncoder output of Section 5.2.</w:t>
      </w:r>
    </w:p>
    <w:p>
      <w:pPr>
        <w:pStyle w:val="ListParagraph"/>
        <w:numPr>
          <w:ilvl w:val="0"/>
          <w:numId w:val="1"/>
        </w:numPr>
        <w:spacing w:after="80"/>
        <w:jc w:val="both"/>
      </w:pPr>
      <w:r>
        <w:rPr>
          <w:rFonts w:ascii="Arial" w:cs="Arial" w:eastAsia="Arial" w:hAnsi="Arial"/>
          <w:sz w:val="22"/>
          <w:szCs w:val="22"/>
        </w:rPr>
        <w:t xml:space="preserve">EarlyStopping(patience=15, restore_best_weights=True): halts training when validation loss fails to improve for 15 consecutive epochs and rolls the model back to its best-observed weights, preventing the final reported model from being an overfit late-epoch snapshot.</w:t>
      </w:r>
    </w:p>
    <w:p>
      <w:pPr>
        <w:pStyle w:val="ListParagraph"/>
        <w:numPr>
          <w:ilvl w:val="0"/>
          <w:numId w:val="1"/>
        </w:numPr>
        <w:spacing w:after="80"/>
        <w:jc w:val="both"/>
      </w:pPr>
      <w:r>
        <w:rPr>
          <w:rFonts w:ascii="Arial" w:cs="Arial" w:eastAsia="Arial" w:hAnsi="Arial"/>
          <w:sz w:val="22"/>
          <w:szCs w:val="22"/>
        </w:rPr>
        <w:t xml:space="preserve">ReduceLROnPlateau(factor=0.5, patience=5, min_lr=1e-6): halves the learning rate whenever validation loss plateaus for 5 epochs, allowing fine-grained convergence in later training without manually scheduling a decay curve.</w:t>
      </w:r>
    </w:p>
    <w:p>
      <w:pPr>
        <w:pStyle w:val="ListParagraph"/>
        <w:numPr>
          <w:ilvl w:val="0"/>
          <w:numId w:val="1"/>
        </w:numPr>
        <w:spacing w:after="80"/>
        <w:jc w:val="both"/>
      </w:pPr>
      <w:r>
        <w:rPr>
          <w:rFonts w:ascii="Arial" w:cs="Arial" w:eastAsia="Arial" w:hAnsi="Arial"/>
          <w:sz w:val="22"/>
          <w:szCs w:val="22"/>
        </w:rPr>
        <w:t xml:space="preserve">Training/validation loss and accuracy curves (Block 17) are plotted for both networks side by side; a widening train–validation gap late in training is the visual signature of overfitting that EarlyStopping is designed to intercept before it materially degrades the restored weights.</w:t>
      </w:r>
    </w:p>
    <w:p>
      <w:pPr>
        <w:pStyle w:val="Heading1"/>
        <w:pBdr>
          <w:bottom w:val="single" w:color="2E75B6" w:sz="6" w:space="1"/>
        </w:pBdr>
        <w:spacing w:after="200" w:before="480"/>
      </w:pPr>
      <w:r>
        <w:rPr>
          <w:rFonts w:ascii="Arial" w:cs="Arial" w:eastAsia="Arial" w:hAnsi="Arial"/>
          <w:b/>
          <w:bCs/>
          <w:caps/>
          <w:color w:val="1E3A5F"/>
          <w:sz w:val="36"/>
          <w:szCs w:val="36"/>
        </w:rPr>
        <w:t xml:space="preserve">8.  Comprehensive Performance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5E8F0" w:color="auto" w:val="clear"/>
            <w:tcMar>
              <w:top w:type="dxa" w:w="120"/>
              <w:left w:type="dxa" w:w="160"/>
              <w:bottom w:type="dxa" w:w="120"/>
              <w:right w:type="dxa" w:w="160"/>
            </w:tcMar>
          </w:tcPr>
          <w:p>
            <w:pPr>
              <w:spacing w:after="60"/>
            </w:pPr>
            <w:r>
              <w:rPr>
                <w:rFonts w:ascii="Arial" w:cs="Arial" w:eastAsia="Arial" w:hAnsi="Arial"/>
                <w:b/>
                <w:bCs/>
                <w:i/>
                <w:iCs/>
                <w:color w:val="2E75B6"/>
                <w:sz w:val="20"/>
                <w:szCs w:val="20"/>
              </w:rPr>
              <w:t xml:space="preserve">▸ How to read this section.</w:t>
            </w:r>
          </w:p>
          <w:p>
            <w:pPr>
              <w:spacing w:after="40"/>
              <w:jc w:val="both"/>
            </w:pPr>
            <w:r>
              <w:rPr>
                <w:rFonts w:ascii="Arial" w:cs="Arial" w:eastAsia="Arial" w:hAnsi="Arial"/>
                <w:i/>
                <w:iCs/>
                <w:color w:val="1E3A5F"/>
                <w:sz w:val="20"/>
                <w:szCs w:val="20"/>
              </w:rPr>
              <w:t xml:space="preserve">Every formula, table schema, and selection rule below is exact and deterministic. Where a specific numeric outcome depends on the stochastic training run (which model wins, its precise F1 score, which two emotions it confuses most), this document presents the mechanism and, where useful, a domain-grounded hypothesis — clearly labelled as such — rather than an invented figure. See the Methodological Note in Section 1.</w:t>
            </w:r>
          </w:p>
        </w:tc>
      </w:tr>
    </w:tbl>
    <w:p>
      <w:pPr>
        <w:spacing w:after="140"/>
      </w:pPr>
    </w:p>
    <w:p>
      <w:pPr>
        <w:pStyle w:val="Heading2"/>
        <w:spacing w:after="140" w:before="320"/>
      </w:pPr>
      <w:r>
        <w:rPr>
          <w:rFonts w:ascii="Arial" w:cs="Arial" w:eastAsia="Arial" w:hAnsi="Arial"/>
          <w:b/>
          <w:bCs/>
          <w:color w:val="2E75B6"/>
          <w:sz w:val="28"/>
          <w:szCs w:val="28"/>
        </w:rPr>
        <w:t xml:space="preserve">8.1  Evaluation Metric Definitions</w:t>
      </w:r>
    </w:p>
    <w:p>
      <w:pPr>
        <w:spacing w:after="120" w:before="0"/>
        <w:jc w:val="both"/>
      </w:pPr>
      <w:r>
        <w:rPr>
          <w:rFonts w:ascii="Arial" w:cs="Arial" w:eastAsia="Arial" w:hAnsi="Arial"/>
          <w:b w:val="false"/>
          <w:bCs w:val="false"/>
          <w:i w:val="false"/>
          <w:iCs w:val="false"/>
          <w:color w:val="000000"/>
          <w:sz w:val="22"/>
          <w:szCs w:val="22"/>
        </w:rPr>
        <w:t xml:space="preserve">All metrics are computed on the chronologically-irrelevant, held-out test partition (test.csv) — data touched by no stage of training, hyperparameter search, or ensemble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BF4FB" w:color="auto" w:val="clear"/>
            <w:tcMar>
              <w:top w:type="dxa" w:w="100"/>
              <w:left w:type="dxa" w:w="140"/>
              <w:bottom w:type="dxa" w:w="100"/>
              <w:right w:type="dxa" w:w="140"/>
            </w:tcMar>
          </w:tcPr>
          <w:p>
            <w:pPr>
              <w:spacing w:after="40"/>
            </w:pPr>
            <w:r>
              <w:rPr>
                <w:rFonts w:ascii="Courier New" w:cs="Courier New" w:eastAsia="Courier New" w:hAnsi="Courier New"/>
                <w:color w:val="1E3A5F"/>
                <w:sz w:val="20"/>
                <w:szCs w:val="20"/>
              </w:rPr>
              <w:t xml:space="preserve">Accuracy   = (# correct predictions) / (# total predictions)</w:t>
            </w:r>
          </w:p>
          <w:p>
            <w:pPr>
              <w:spacing w:after="40"/>
            </w:pPr>
            <w:r>
              <w:rPr>
                <w:rFonts w:ascii="Courier New" w:cs="Courier New" w:eastAsia="Courier New" w:hAnsi="Courier New"/>
                <w:color w:val="1E3A5F"/>
                <w:sz w:val="20"/>
                <w:szCs w:val="20"/>
              </w:rPr>
              <w:t xml:space="preserve"/>
            </w:r>
          </w:p>
          <w:p>
            <w:pPr>
              <w:spacing w:after="40"/>
            </w:pPr>
            <w:r>
              <w:rPr>
                <w:rFonts w:ascii="Courier New" w:cs="Courier New" w:eastAsia="Courier New" w:hAnsi="Courier New"/>
                <w:color w:val="1E3A5F"/>
                <w:sz w:val="20"/>
                <w:szCs w:val="20"/>
              </w:rPr>
              <w:t xml:space="preserve">Precision_k = TP_k / (TP_k + FP_k)      (per class k)</w:t>
            </w:r>
          </w:p>
          <w:p>
            <w:pPr>
              <w:spacing w:after="40"/>
            </w:pPr>
            <w:r>
              <w:rPr>
                <w:rFonts w:ascii="Courier New" w:cs="Courier New" w:eastAsia="Courier New" w:hAnsi="Courier New"/>
                <w:color w:val="1E3A5F"/>
                <w:sz w:val="20"/>
                <w:szCs w:val="20"/>
              </w:rPr>
              <w:t xml:space="preserve">Recall_k    = TP_k / (TP_k + FN_k)      (per class k)</w:t>
            </w:r>
          </w:p>
          <w:p>
            <w:pPr>
              <w:spacing w:after="40"/>
            </w:pPr>
            <w:r>
              <w:rPr>
                <w:rFonts w:ascii="Courier New" w:cs="Courier New" w:eastAsia="Courier New" w:hAnsi="Courier New"/>
                <w:color w:val="1E3A5F"/>
                <w:sz w:val="20"/>
                <w:szCs w:val="20"/>
              </w:rPr>
              <w:t xml:space="preserve">F1_k = 2 · Precision_k · Recall_k / (Precision_k + Recall_k)</w:t>
            </w:r>
          </w:p>
          <w:p>
            <w:pPr>
              <w:spacing w:after="40"/>
            </w:pPr>
            <w:r>
              <w:rPr>
                <w:rFonts w:ascii="Courier New" w:cs="Courier New" w:eastAsia="Courier New" w:hAnsi="Courier New"/>
                <w:color w:val="1E3A5F"/>
                <w:sz w:val="20"/>
                <w:szCs w:val="20"/>
              </w:rPr>
              <w:t xml:space="preserve"/>
            </w:r>
          </w:p>
          <w:p>
            <w:pPr>
              <w:spacing w:after="40"/>
            </w:pPr>
            <w:r>
              <w:rPr>
                <w:rFonts w:ascii="Courier New" w:cs="Courier New" w:eastAsia="Courier New" w:hAnsi="Courier New"/>
                <w:color w:val="1E3A5F"/>
                <w:sz w:val="20"/>
                <w:szCs w:val="20"/>
              </w:rPr>
              <w:t xml:space="preserve">F1_weighted = Σ_k (support_k / N) · F1_k</w:t>
            </w:r>
          </w:p>
          <w:p>
            <w:pPr>
              <w:spacing w:after="40"/>
            </w:pPr>
            <w:r>
              <w:rPr>
                <w:rFonts w:ascii="Courier New" w:cs="Courier New" w:eastAsia="Courier New" w:hAnsi="Courier New"/>
                <w:color w:val="1E3A5F"/>
                <w:sz w:val="20"/>
                <w:szCs w:val="20"/>
              </w:rPr>
              <w:t xml:space="preserve">              — weights each class by its test-set frequency</w:t>
            </w:r>
          </w:p>
          <w:p>
            <w:pPr>
              <w:spacing w:after="40"/>
            </w:pPr>
            <w:r>
              <w:rPr>
                <w:rFonts w:ascii="Courier New" w:cs="Courier New" w:eastAsia="Courier New" w:hAnsi="Courier New"/>
                <w:color w:val="1E3A5F"/>
                <w:sz w:val="20"/>
                <w:szCs w:val="20"/>
              </w:rPr>
              <w:t xml:space="preserve">F1_macro    = (1/K) · Σ_k F1_k</w:t>
            </w:r>
          </w:p>
          <w:p>
            <w:pPr>
              <w:spacing w:after="40"/>
            </w:pPr>
            <w:r>
              <w:rPr>
                <w:rFonts w:ascii="Courier New" w:cs="Courier New" w:eastAsia="Courier New" w:hAnsi="Courier New"/>
                <w:color w:val="1E3A5F"/>
                <w:sz w:val="20"/>
                <w:szCs w:val="20"/>
              </w:rPr>
              <w:t xml:space="preserve">              — unweighted mean; treats every class equally</w:t>
            </w:r>
          </w:p>
        </w:tc>
      </w:tr>
    </w:tbl>
    <w:p>
      <w:pPr>
        <w:spacing w:after="140"/>
      </w:pPr>
    </w:p>
    <w:p>
      <w:pPr>
        <w:pStyle w:val="Heading2"/>
        <w:spacing w:after="140" w:before="320"/>
      </w:pPr>
      <w:r>
        <w:rPr>
          <w:rFonts w:ascii="Arial" w:cs="Arial" w:eastAsia="Arial" w:hAnsi="Arial"/>
          <w:b/>
          <w:bCs/>
          <w:color w:val="2E75B6"/>
          <w:sz w:val="28"/>
          <w:szCs w:val="28"/>
        </w:rPr>
        <w:t xml:space="preserve">8.2  Full Model Performance Comparison — Candidate Roster &amp; Selection Rule (Block 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
        <w:gridCol w:w="1500"/>
        <w:gridCol w:w="2000"/>
        <w:gridCol w:w="5510"/>
      </w:tblGrid>
      <w:tr>
        <w:trPr>
          <w:tblHeader/>
        </w:trPr>
        <w:tc>
          <w:tcPr>
            <w:tcW w:type="dxa" w:w="35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vAlign w:val="center"/>
          </w:tcPr>
          <w:p>
            <w:r>
              <w:rPr>
                <w:rFonts w:ascii="Arial" w:cs="Arial" w:eastAsia="Arial" w:hAnsi="Arial"/>
                <w:b/>
                <w:bCs/>
                <w:color w:val="1E3A5F"/>
                <w:sz w:val="20"/>
                <w:szCs w:val="20"/>
              </w:rPr>
              <w:t xml:space="preserve">#</w:t>
            </w:r>
          </w:p>
        </w:tc>
        <w:tc>
          <w:tcPr>
            <w:tcW w:type="dxa" w:w="15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vAlign w:val="center"/>
          </w:tcPr>
          <w:p>
            <w:r>
              <w:rPr>
                <w:rFonts w:ascii="Arial" w:cs="Arial" w:eastAsia="Arial" w:hAnsi="Arial"/>
                <w:b/>
                <w:bCs/>
                <w:color w:val="1E3A5F"/>
                <w:sz w:val="20"/>
                <w:szCs w:val="20"/>
              </w:rPr>
              <w:t xml:space="preserve">Model</w:t>
            </w:r>
          </w:p>
        </w:tc>
        <w:tc>
          <w:tcPr>
            <w:tcW w:type="dxa" w:w="20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vAlign w:val="center"/>
          </w:tcPr>
          <w:p>
            <w:r>
              <w:rPr>
                <w:rFonts w:ascii="Arial" w:cs="Arial" w:eastAsia="Arial" w:hAnsi="Arial"/>
                <w:b/>
                <w:bCs/>
                <w:color w:val="1E3A5F"/>
                <w:sz w:val="20"/>
                <w:szCs w:val="20"/>
              </w:rPr>
              <w:t xml:space="preserve">Family</w:t>
            </w:r>
          </w:p>
        </w:tc>
        <w:tc>
          <w:tcPr>
            <w:tcW w:type="dxa" w:w="551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vAlign w:val="center"/>
          </w:tcPr>
          <w:p>
            <w:r>
              <w:rPr>
                <w:rFonts w:ascii="Arial" w:cs="Arial" w:eastAsia="Arial" w:hAnsi="Arial"/>
                <w:b/>
                <w:bCs/>
                <w:color w:val="1E3A5F"/>
                <w:sz w:val="20"/>
                <w:szCs w:val="20"/>
              </w:rPr>
              <w:t xml:space="preserve">Configuration Summary &amp; Role in the Tournament</w:t>
            </w:r>
          </w:p>
        </w:tc>
      </w:tr>
      <w:tr>
        <w:tc>
          <w:tcPr>
            <w:tcW w:type="dxa" w:w="35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1</w:t>
            </w:r>
          </w:p>
        </w:tc>
        <w:tc>
          <w:tcPr>
            <w:tcW w:type="dxa" w:w="15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Random Forest</w:t>
            </w:r>
          </w:p>
        </w:tc>
        <w:tc>
          <w:tcPr>
            <w:tcW w:type="dxa" w:w="20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Classical — Bagging</w:t>
            </w:r>
          </w:p>
        </w:tc>
        <w:tc>
          <w:tcPr>
            <w:tcW w:type="dxa" w:w="551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300 trees, max_depth=15, min_samples_split=5, class_weight=balanced. Establishes the non-boosted tree performance floor.</w:t>
            </w:r>
          </w:p>
        </w:tc>
      </w:tr>
      <w:tr>
        <w:tc>
          <w:tcPr>
            <w:tcW w:type="dxa" w:w="35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2</w:t>
            </w:r>
          </w:p>
        </w:tc>
        <w:tc>
          <w:tcPr>
            <w:tcW w:type="dxa" w:w="15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Logistic Regression</w:t>
            </w:r>
          </w:p>
        </w:tc>
        <w:tc>
          <w:tcPr>
            <w:tcW w:type="dxa" w:w="20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Classical — Linear (Softmax)</w:t>
            </w:r>
          </w:p>
        </w:tc>
        <w:tc>
          <w:tcPr>
            <w:tcW w:type="dxa" w:w="551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Multinomial, solver=lbfgs, max_iter=2000, class_weight=balanced. Establishes the linear-separability floor.</w:t>
            </w:r>
          </w:p>
        </w:tc>
      </w:tr>
      <w:tr>
        <w:tc>
          <w:tcPr>
            <w:tcW w:type="dxa" w:w="35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3</w:t>
            </w:r>
          </w:p>
        </w:tc>
        <w:tc>
          <w:tcPr>
            <w:tcW w:type="dxa" w:w="15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CatBoost</w:t>
            </w:r>
          </w:p>
        </w:tc>
        <w:tc>
          <w:tcPr>
            <w:tcW w:type="dxa" w:w="20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Gradient Boosting — Ordered / Symmetric Trees</w:t>
            </w:r>
          </w:p>
        </w:tc>
        <w:tc>
          <w:tcPr>
            <w:tcW w:type="dxa" w:w="551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RandomizedSearchCV(20 iter, cv=3) over depth/learning_rate/iterations/l2_leaf_reg; auto_class_weights=Balanced. SOTA boosting candidate #1.</w:t>
            </w:r>
          </w:p>
        </w:tc>
      </w:tr>
      <w:tr>
        <w:tc>
          <w:tcPr>
            <w:tcW w:type="dxa" w:w="35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4</w:t>
            </w:r>
          </w:p>
        </w:tc>
        <w:tc>
          <w:tcPr>
            <w:tcW w:type="dxa" w:w="15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LightGBM</w:t>
            </w:r>
          </w:p>
        </w:tc>
        <w:tc>
          <w:tcPr>
            <w:tcW w:type="dxa" w:w="20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Gradient Boosting — Leaf-Wise</w:t>
            </w:r>
          </w:p>
        </w:tc>
        <w:tc>
          <w:tcPr>
            <w:tcW w:type="dxa" w:w="551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RandomizedSearchCV(20,3) over num_leaves/learning_rate/n_estimators/max_depth/min_child_samples; class_weight=balanced. SOTA boosting candidate #2.</w:t>
            </w:r>
          </w:p>
        </w:tc>
      </w:tr>
      <w:tr>
        <w:tc>
          <w:tcPr>
            <w:tcW w:type="dxa" w:w="35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5</w:t>
            </w:r>
          </w:p>
        </w:tc>
        <w:tc>
          <w:tcPr>
            <w:tcW w:type="dxa" w:w="15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XGBoost</w:t>
            </w:r>
          </w:p>
        </w:tc>
        <w:tc>
          <w:tcPr>
            <w:tcW w:type="dxa" w:w="20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Gradient Boosting — Level-Wise, Regularised</w:t>
            </w:r>
          </w:p>
        </w:tc>
        <w:tc>
          <w:tcPr>
            <w:tcW w:type="dxa" w:w="551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RandomizedSearchCV(20,3) over max_depth/learning_rate/n_estimators/subsample/colsample_bytree; balanced via compute_sample_weight. SOTA boosting candidate #3.</w:t>
            </w:r>
          </w:p>
        </w:tc>
      </w:tr>
      <w:tr>
        <w:tc>
          <w:tcPr>
            <w:tcW w:type="dxa" w:w="35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6</w:t>
            </w:r>
          </w:p>
        </w:tc>
        <w:tc>
          <w:tcPr>
            <w:tcW w:type="dxa" w:w="15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MLP</w:t>
            </w:r>
          </w:p>
        </w:tc>
        <w:tc>
          <w:tcPr>
            <w:tcW w:type="dxa" w:w="20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Deep Feedforward — ReLU</w:t>
            </w:r>
          </w:p>
        </w:tc>
        <w:tc>
          <w:tcPr>
            <w:tcW w:type="dxa" w:w="551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256→128→64→6, BatchNorm+Dropout(.4/.3/.2), Adam, EarlyStopping+ReduceLROnPlateau, ≤200 epochs. Deep-learning candidate #1.</w:t>
            </w:r>
          </w:p>
        </w:tc>
      </w:tr>
      <w:tr>
        <w:tc>
          <w:tcPr>
            <w:tcW w:type="dxa" w:w="35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7</w:t>
            </w:r>
          </w:p>
        </w:tc>
        <w:tc>
          <w:tcPr>
            <w:tcW w:type="dxa" w:w="15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Swish-Net</w:t>
            </w:r>
          </w:p>
        </w:tc>
        <w:tc>
          <w:tcPr>
            <w:tcW w:type="dxa" w:w="20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Deep Feedforward — Swish/SiLU</w:t>
            </w:r>
          </w:p>
        </w:tc>
        <w:tc>
          <w:tcPr>
            <w:tcW w:type="dxa" w:w="551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512→256→128→64→6, BatchNorm+Dropout(.5/.4/.3/.2), RMSprop(lr=1e-3), same callbacks. Deep-learning candidate #2.</w:t>
            </w:r>
          </w:p>
        </w:tc>
      </w:tr>
      <w:tr>
        <w:tc>
          <w:tcPr>
            <w:tcW w:type="dxa" w:w="35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8</w:t>
            </w:r>
          </w:p>
        </w:tc>
        <w:tc>
          <w:tcPr>
            <w:tcW w:type="dxa" w:w="15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Soft-Vote Ensemble</w:t>
            </w:r>
          </w:p>
        </w:tc>
        <w:tc>
          <w:tcPr>
            <w:tcW w:type="dxa" w:w="20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Meta-Ensemble</w:t>
            </w:r>
          </w:p>
        </w:tc>
        <w:tc>
          <w:tcPr>
            <w:tcW w:type="dxa" w:w="551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Mean predict_proba() of the top-3 sklearn models by validation weighted-F1 (Block 18). Final candidate — combines the strongest classical/boosting signals.</w:t>
            </w:r>
          </w:p>
        </w:tc>
      </w:tr>
    </w:tbl>
    <w:p>
      <w:pPr>
        <w:spacing w:after="140"/>
      </w:pPr>
    </w:p>
    <w:p>
      <w:pPr>
        <w:spacing w:after="60" w:before="0"/>
        <w:jc w:val="both"/>
      </w:pPr>
      <w:r>
        <w:rPr>
          <w:rFonts w:ascii="Arial" w:cs="Arial" w:eastAsia="Arial" w:hAnsi="Arial"/>
          <w:b w:val="false"/>
          <w:bCs w:val="false"/>
          <w:i w:val="false"/>
          <w:iCs w:val="false"/>
          <w:color w:val="000000"/>
          <w:sz w:val="22"/>
          <w:szCs w:val="22"/>
        </w:rPr>
        <w:t xml:space="preserve">Champion Selection Rule (Block 19): all 8 candidates above are scored on the held-out test partition across seven metrics — Accuracy, Precision (weighted &amp; macro), Recall (weighted &amp; macro), and F1-Score (weighted &amp; macro). The results are assembled into a DataFrame and sorted by descending weighted F1: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BF4FB" w:color="auto" w:val="clear"/>
            <w:tcMar>
              <w:top w:type="dxa" w:w="100"/>
              <w:left w:type="dxa" w:w="140"/>
              <w:bottom w:type="dxa" w:w="100"/>
              <w:right w:type="dxa" w:w="140"/>
            </w:tcMar>
          </w:tcPr>
          <w:p>
            <w:pPr>
              <w:spacing w:after="40"/>
            </w:pPr>
            <w:r>
              <w:rPr>
                <w:rFonts w:ascii="Courier New" w:cs="Courier New" w:eastAsia="Courier New" w:hAnsi="Courier New"/>
                <w:color w:val="1E3A5F"/>
                <w:sz w:val="20"/>
                <w:szCs w:val="20"/>
              </w:rPr>
              <w:t xml:space="preserve">results_df = pd.DataFrame(results) \</w:t>
            </w:r>
          </w:p>
          <w:p>
            <w:pPr>
              <w:spacing w:after="40"/>
            </w:pPr>
            <w:r>
              <w:rPr>
                <w:rFonts w:ascii="Courier New" w:cs="Courier New" w:eastAsia="Courier New" w:hAnsi="Courier New"/>
                <w:color w:val="1E3A5F"/>
                <w:sz w:val="20"/>
                <w:szCs w:val="20"/>
              </w:rPr>
              <w:t xml:space="preserve">                .sort_values('F1-Score (W)', ascending=False).reset_index(drop=True)</w:t>
            </w:r>
          </w:p>
          <w:p>
            <w:pPr>
              <w:spacing w:after="40"/>
            </w:pPr>
            <w:r>
              <w:rPr>
                <w:rFonts w:ascii="Courier New" w:cs="Courier New" w:eastAsia="Courier New" w:hAnsi="Courier New"/>
                <w:color w:val="1E3A5F"/>
                <w:sz w:val="20"/>
                <w:szCs w:val="20"/>
              </w:rPr>
              <w:t xml:space="preserve">champion_name = results_df.iloc[0]['Model']</w:t>
            </w:r>
          </w:p>
        </w:tc>
      </w:tr>
    </w:tbl>
    <w:p>
      <w:pPr>
        <w:spacing w:after="140"/>
      </w:pPr>
    </w:p>
    <w:p>
      <w:pPr>
        <w:spacing w:after="120" w:before="0"/>
        <w:jc w:val="both"/>
      </w:pPr>
      <w:r>
        <w:rPr>
          <w:rFonts w:ascii="Arial" w:cs="Arial" w:eastAsia="Arial" w:hAnsi="Arial"/>
          <w:b w:val="false"/>
          <w:bCs w:val="false"/>
          <w:i w:val="false"/>
          <w:iCs w:val="false"/>
          <w:color w:val="000000"/>
          <w:sz w:val="22"/>
          <w:szCs w:val="22"/>
        </w:rPr>
        <w:t xml:space="preserve">This is a fully deterministic selection rule — only its numeric output depends on the specific weighted-F1 values Block 19 prints for a given executed run against the real train/val/test partitions (see the Methodological Note, Section 1). The resulting table, results_df, is exactly the schema persisted into pipeline_metadata.pkl['model_performance'] and rendered live in the NeuroSense “Performance” tab (Section 10.3).</w:t>
      </w:r>
    </w:p>
    <w:p>
      <w:pPr>
        <w:pStyle w:val="Heading2"/>
        <w:spacing w:after="140" w:before="320"/>
      </w:pPr>
      <w:r>
        <w:rPr>
          <w:rFonts w:ascii="Arial" w:cs="Arial" w:eastAsia="Arial" w:hAnsi="Arial"/>
          <w:b/>
          <w:bCs/>
          <w:color w:val="2E75B6"/>
          <w:sz w:val="28"/>
          <w:szCs w:val="28"/>
        </w:rPr>
        <w:t xml:space="preserve">8.3  Per-Class Classification Report (Block 20)</w:t>
      </w:r>
    </w:p>
    <w:p>
      <w:pPr>
        <w:spacing w:after="120" w:before="0"/>
        <w:jc w:val="both"/>
      </w:pPr>
      <w:r>
        <w:rPr>
          <w:rFonts w:ascii="Arial" w:cs="Arial" w:eastAsia="Arial" w:hAnsi="Arial"/>
          <w:b w:val="false"/>
          <w:bCs w:val="false"/>
          <w:i w:val="false"/>
          <w:iCs w:val="false"/>
          <w:color w:val="000000"/>
          <w:sz w:val="22"/>
          <w:szCs w:val="22"/>
        </w:rPr>
        <w:t xml:space="preserve">classification_report() (digits=4, zero_division=0) is generated for the champion model against the six named emotion classes, producing Precision / Recall / F1-Score / Support for each of Happiness, Neutral, Anxiety, Sadness, Boredom, and Anger, plus accuracy, macro-average, and weighted-average summary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5E8F0" w:color="auto" w:val="clear"/>
            <w:tcMar>
              <w:top w:type="dxa" w:w="120"/>
              <w:left w:type="dxa" w:w="160"/>
              <w:bottom w:type="dxa" w:w="120"/>
              <w:right w:type="dxa" w:w="160"/>
            </w:tcMar>
          </w:tcPr>
          <w:p>
            <w:pPr>
              <w:spacing w:after="60"/>
            </w:pPr>
            <w:r>
              <w:rPr>
                <w:rFonts w:ascii="Arial" w:cs="Arial" w:eastAsia="Arial" w:hAnsi="Arial"/>
                <w:b/>
                <w:bCs/>
                <w:i/>
                <w:iCs/>
                <w:color w:val="2E75B6"/>
                <w:sz w:val="20"/>
                <w:szCs w:val="20"/>
              </w:rPr>
              <w:t xml:space="preserve">▸ A priori confusion hypothesis (to be verified against the Block 20 output).</w:t>
            </w:r>
          </w:p>
          <w:p>
            <w:pPr>
              <w:spacing w:after="40"/>
              <w:jc w:val="both"/>
            </w:pPr>
            <w:r>
              <w:rPr>
                <w:rFonts w:ascii="Arial" w:cs="Arial" w:eastAsia="Arial" w:hAnsi="Arial"/>
                <w:i/>
                <w:iCs/>
                <w:color w:val="1E3A5F"/>
                <w:sz w:val="20"/>
                <w:szCs w:val="20"/>
              </w:rPr>
              <w:t xml:space="preserve">Russell's (1980) circumplex model of affect organises emotions along two axes — valence (pleasant–unpleasant) and arousal (activated–deactivated). Under this framework, Boredom and Neutral occupy adjacent low-arousal territory and are hypothesised to be the hardest pair for the champion to separate from behavioural counters alone; Anger (unpleasant/high-arousal) and Happiness (pleasant/high-arousal) sit at opposite valence poles while sharing high arousal, and are hypothesised to be more cleanly separated from the low-arousal cluster than from each other. This is a principled prior for interpreting the confusion matrix in Section 8.5 — not a substitute for it.</w:t>
            </w:r>
          </w:p>
        </w:tc>
      </w:tr>
    </w:tbl>
    <w:p>
      <w:pPr>
        <w:spacing w:after="140"/>
      </w:pPr>
    </w:p>
    <w:p>
      <w:pPr>
        <w:pStyle w:val="Heading2"/>
        <w:spacing w:after="140" w:before="320"/>
      </w:pPr>
      <w:r>
        <w:rPr>
          <w:rFonts w:ascii="Arial" w:cs="Arial" w:eastAsia="Arial" w:hAnsi="Arial"/>
          <w:b/>
          <w:bCs/>
          <w:color w:val="2E75B6"/>
          <w:sz w:val="28"/>
          <w:szCs w:val="28"/>
        </w:rPr>
        <w:t xml:space="preserve">8.4  ROC-AUC &amp; Precision-Recall Curves (Block 21)</w:t>
      </w:r>
    </w:p>
    <w:p>
      <w:pPr>
        <w:spacing w:after="120" w:before="0"/>
        <w:jc w:val="both"/>
      </w:pPr>
      <w:r>
        <w:rPr>
          <w:rFonts w:ascii="Arial" w:cs="Arial" w:eastAsia="Arial" w:hAnsi="Arial"/>
          <w:b w:val="false"/>
          <w:bCs w:val="false"/>
          <w:i w:val="false"/>
          <w:iCs w:val="false"/>
          <w:color w:val="000000"/>
          <w:sz w:val="22"/>
          <w:szCs w:val="22"/>
        </w:rPr>
        <w:t xml:space="preserve">Because Dominant_Emotion is a six-way nominal target, discrimination quality is assessed via One-vs-Rest (OvR) decomposition: the true labels are binarised (label_binarize) into six one-vs-rest indicator vectors, and a separate ROC curve (with AUC) and Precision-Recall curve (with Average Precision) is computed per class from the champion's predict_proba()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BF4FB" w:color="auto" w:val="clear"/>
            <w:tcMar>
              <w:top w:type="dxa" w:w="100"/>
              <w:left w:type="dxa" w:w="140"/>
              <w:bottom w:type="dxa" w:w="100"/>
              <w:right w:type="dxa" w:w="140"/>
            </w:tcMar>
          </w:tcPr>
          <w:p>
            <w:pPr>
              <w:spacing w:after="40"/>
            </w:pPr>
            <w:r>
              <w:rPr>
                <w:rFonts w:ascii="Courier New" w:cs="Courier New" w:eastAsia="Courier New" w:hAnsi="Courier New"/>
                <w:color w:val="1E3A5F"/>
                <w:sz w:val="20"/>
                <w:szCs w:val="20"/>
              </w:rPr>
              <w:t xml:space="preserve">y_test_bin = label_binarize(y_test, classes=np.arange(n_classes))</w:t>
            </w:r>
          </w:p>
          <w:p>
            <w:pPr>
              <w:spacing w:after="40"/>
            </w:pPr>
            <w:r>
              <w:rPr>
                <w:rFonts w:ascii="Courier New" w:cs="Courier New" w:eastAsia="Courier New" w:hAnsi="Courier New"/>
                <w:color w:val="1E3A5F"/>
                <w:sz w:val="20"/>
                <w:szCs w:val="20"/>
              </w:rPr>
              <w:t xml:space="preserve">for i, cls_name in enumerate(class_names):</w:t>
            </w:r>
          </w:p>
          <w:p>
            <w:pPr>
              <w:spacing w:after="40"/>
            </w:pPr>
            <w:r>
              <w:rPr>
                <w:rFonts w:ascii="Courier New" w:cs="Courier New" w:eastAsia="Courier New" w:hAnsi="Courier New"/>
                <w:color w:val="1E3A5F"/>
                <w:sz w:val="20"/>
                <w:szCs w:val="20"/>
              </w:rPr>
              <w:t xml:space="preserve">    fpr, tpr, _ = roc_curve(y_test_bin[:, i], champion_test_probs[:, i])</w:t>
            </w:r>
          </w:p>
          <w:p>
            <w:pPr>
              <w:spacing w:after="40"/>
            </w:pPr>
            <w:r>
              <w:rPr>
                <w:rFonts w:ascii="Courier New" w:cs="Courier New" w:eastAsia="Courier New" w:hAnsi="Courier New"/>
                <w:color w:val="1E3A5F"/>
                <w:sz w:val="20"/>
                <w:szCs w:val="20"/>
              </w:rPr>
              <w:t xml:space="preserve">    roc_auc = auc(fpr, tpr)</w:t>
            </w:r>
          </w:p>
          <w:p>
            <w:pPr>
              <w:spacing w:after="40"/>
            </w:pPr>
            <w:r>
              <w:rPr>
                <w:rFonts w:ascii="Courier New" w:cs="Courier New" w:eastAsia="Courier New" w:hAnsi="Courier New"/>
                <w:color w:val="1E3A5F"/>
                <w:sz w:val="20"/>
                <w:szCs w:val="20"/>
              </w:rPr>
              <w:t xml:space="preserve">    prec, rec, _ = precision_recall_curve(y_test_bin[:, i], champion_test_probs[:, i])</w:t>
            </w:r>
          </w:p>
          <w:p>
            <w:pPr>
              <w:spacing w:after="40"/>
            </w:pPr>
            <w:r>
              <w:rPr>
                <w:rFonts w:ascii="Courier New" w:cs="Courier New" w:eastAsia="Courier New" w:hAnsi="Courier New"/>
                <w:color w:val="1E3A5F"/>
                <w:sz w:val="20"/>
                <w:szCs w:val="20"/>
              </w:rPr>
              <w:t xml:space="preserve">    ap = average_precision_score(y_test_bin[:, i], champion_test_probs[:, i])</w:t>
            </w:r>
          </w:p>
        </w:tc>
      </w:tr>
    </w:tbl>
    <w:p>
      <w:pPr>
        <w:spacing w:after="140"/>
      </w:pPr>
    </w:p>
    <w:p>
      <w:pPr>
        <w:pStyle w:val="Heading2"/>
        <w:spacing w:after="140" w:before="320"/>
      </w:pPr>
      <w:r>
        <w:rPr>
          <w:rFonts w:ascii="Arial" w:cs="Arial" w:eastAsia="Arial" w:hAnsi="Arial"/>
          <w:b/>
          <w:bCs/>
          <w:color w:val="2E75B6"/>
          <w:sz w:val="28"/>
          <w:szCs w:val="28"/>
        </w:rPr>
        <w:t xml:space="preserve">8.5  Confusion Matrix &amp; SHAP Explainability (Block 22)</w:t>
      </w:r>
    </w:p>
    <w:p>
      <w:pPr>
        <w:spacing w:after="120" w:before="0"/>
        <w:jc w:val="both"/>
      </w:pPr>
      <w:r>
        <w:rPr>
          <w:rFonts w:ascii="Arial" w:cs="Arial" w:eastAsia="Arial" w:hAnsi="Arial"/>
          <w:b w:val="false"/>
          <w:bCs w:val="false"/>
          <w:i w:val="false"/>
          <w:iCs w:val="false"/>
          <w:color w:val="000000"/>
          <w:sz w:val="22"/>
          <w:szCs w:val="22"/>
        </w:rPr>
        <w:t xml:space="preserve">A row-normalised confusion matrix (each row sums to 1.0, i.e., recall-normalised) visualises the champion's class-conditional error structure as a heatmap. In parallel, SHAP (SHapley Additive exPlanations) TreeExplainer attribution is computed against the best-performing tree-based model in the roster — not necessarily the champion itself, since TreeExplainer requires a tree-structured model and the champion may be a Keras network or the soft-vote ensemble: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BF4FB" w:color="auto" w:val="clear"/>
            <w:tcMar>
              <w:top w:type="dxa" w:w="100"/>
              <w:left w:type="dxa" w:w="140"/>
              <w:bottom w:type="dxa" w:w="100"/>
              <w:right w:type="dxa" w:w="140"/>
            </w:tcMar>
          </w:tcPr>
          <w:p>
            <w:pPr>
              <w:spacing w:after="40"/>
            </w:pPr>
            <w:r>
              <w:rPr>
                <w:rFonts w:ascii="Courier New" w:cs="Courier New" w:eastAsia="Courier New" w:hAnsi="Courier New"/>
                <w:color w:val="1E3A5F"/>
                <w:sz w:val="20"/>
                <w:szCs w:val="20"/>
              </w:rPr>
              <w:t xml:space="preserve">tree_model_names = [n for n in ['CatBoost', 'LightGBM', 'XGBoost', 'Random Forest']</w:t>
            </w:r>
          </w:p>
          <w:p>
            <w:pPr>
              <w:spacing w:after="40"/>
            </w:pPr>
            <w:r>
              <w:rPr>
                <w:rFonts w:ascii="Courier New" w:cs="Courier New" w:eastAsia="Courier New" w:hAnsi="Courier New"/>
                <w:color w:val="1E3A5F"/>
                <w:sz w:val="20"/>
                <w:szCs w:val="20"/>
              </w:rPr>
              <w:t xml:space="preserve">                     if n in trained_models]</w:t>
            </w:r>
          </w:p>
          <w:p>
            <w:pPr>
              <w:spacing w:after="40"/>
            </w:pPr>
            <w:r>
              <w:rPr>
                <w:rFonts w:ascii="Courier New" w:cs="Courier New" w:eastAsia="Courier New" w:hAnsi="Courier New"/>
                <w:color w:val="1E3A5F"/>
                <w:sz w:val="20"/>
                <w:szCs w:val="20"/>
              </w:rPr>
              <w:t xml:space="preserve">best_tree_name = max(tree_model_names, key=lambda n: model_val_f1.get(n, 0))</w:t>
            </w:r>
          </w:p>
          <w:p>
            <w:pPr>
              <w:spacing w:after="40"/>
            </w:pPr>
            <w:r>
              <w:rPr>
                <w:rFonts w:ascii="Courier New" w:cs="Courier New" w:eastAsia="Courier New" w:hAnsi="Courier New"/>
                <w:color w:val="1E3A5F"/>
                <w:sz w:val="20"/>
                <w:szCs w:val="20"/>
              </w:rPr>
              <w:t xml:space="preserve">explainer = shap.TreeExplainer(trained_models[best_tree_name])</w:t>
            </w:r>
          </w:p>
          <w:p>
            <w:pPr>
              <w:spacing w:after="40"/>
            </w:pPr>
            <w:r>
              <w:rPr>
                <w:rFonts w:ascii="Courier New" w:cs="Courier New" w:eastAsia="Courier New" w:hAnsi="Courier New"/>
                <w:color w:val="1E3A5F"/>
                <w:sz w:val="20"/>
                <w:szCs w:val="20"/>
              </w:rPr>
              <w:t xml:space="preserve">shap_values = explainer.shap_values(X_test_df)</w:t>
            </w:r>
          </w:p>
        </w:tc>
      </w:tr>
    </w:tbl>
    <w:p>
      <w:pPr>
        <w:spacing w:after="140"/>
      </w:pPr>
    </w:p>
    <w:p>
      <w:pPr>
        <w:spacing w:after="120" w:before="0"/>
        <w:jc w:val="both"/>
      </w:pPr>
      <w:r>
        <w:rPr>
          <w:rFonts w:ascii="Arial" w:cs="Arial" w:eastAsia="Arial" w:hAnsi="Arial"/>
          <w:b w:val="false"/>
          <w:bCs w:val="false"/>
          <w:i w:val="false"/>
          <w:iCs w:val="false"/>
          <w:color w:val="000000"/>
          <w:sz w:val="22"/>
          <w:szCs w:val="22"/>
        </w:rPr>
        <w:t xml:space="preserve">A critical engineering safeguard here is version-agnostic handling of SHAP's return type, which changed across SHAP library versions: older releases (and some model types) return a Python list of one 2-D array per class, while newer releases return a single 3-D array of shape (samples, features, classes). Naively wrapping either format in a pandas Series without branching crashes with “Data must be 1-dimensional.” The pipeline explicitly detects and handles both: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BF4FB" w:color="auto" w:val="clear"/>
            <w:tcMar>
              <w:top w:type="dxa" w:w="100"/>
              <w:left w:type="dxa" w:w="140"/>
              <w:bottom w:type="dxa" w:w="100"/>
              <w:right w:type="dxa" w:w="140"/>
            </w:tcMar>
          </w:tcPr>
          <w:p>
            <w:pPr>
              <w:spacing w:after="40"/>
            </w:pPr>
            <w:r>
              <w:rPr>
                <w:rFonts w:ascii="Courier New" w:cs="Courier New" w:eastAsia="Courier New" w:hAnsi="Courier New"/>
                <w:color w:val="1E3A5F"/>
                <w:sz w:val="20"/>
                <w:szCs w:val="20"/>
              </w:rPr>
              <w:t xml:space="preserve">if isinstance(shap_values, list):</w:t>
            </w:r>
          </w:p>
          <w:p>
            <w:pPr>
              <w:spacing w:after="40"/>
            </w:pPr>
            <w:r>
              <w:rPr>
                <w:rFonts w:ascii="Courier New" w:cs="Courier New" w:eastAsia="Courier New" w:hAnsi="Courier New"/>
                <w:color w:val="1E3A5F"/>
                <w:sz w:val="20"/>
                <w:szCs w:val="20"/>
              </w:rPr>
              <w:t xml:space="preserve">    # legacy format: list of 2D arrays, one per class</w:t>
            </w:r>
          </w:p>
          <w:p>
            <w:pPr>
              <w:spacing w:after="40"/>
            </w:pPr>
            <w:r>
              <w:rPr>
                <w:rFonts w:ascii="Courier New" w:cs="Courier New" w:eastAsia="Courier New" w:hAnsi="Courier New"/>
                <w:color w:val="1E3A5F"/>
                <w:sz w:val="20"/>
                <w:szCs w:val="20"/>
              </w:rPr>
              <w:t xml:space="preserve">    final_shap = np.mean([np.abs(sv) for sv in shap_values], axis=0).mean(axis=0)</w:t>
            </w:r>
          </w:p>
          <w:p>
            <w:pPr>
              <w:spacing w:after="40"/>
            </w:pPr>
            <w:r>
              <w:rPr>
                <w:rFonts w:ascii="Courier New" w:cs="Courier New" w:eastAsia="Courier New" w:hAnsi="Courier New"/>
                <w:color w:val="1E3A5F"/>
                <w:sz w:val="20"/>
                <w:szCs w:val="20"/>
              </w:rPr>
              <w:t xml:space="preserve">else:</w:t>
            </w:r>
          </w:p>
          <w:p>
            <w:pPr>
              <w:spacing w:after="40"/>
            </w:pPr>
            <w:r>
              <w:rPr>
                <w:rFonts w:ascii="Courier New" w:cs="Courier New" w:eastAsia="Courier New" w:hAnsi="Courier New"/>
                <w:color w:val="1E3A5F"/>
                <w:sz w:val="20"/>
                <w:szCs w:val="20"/>
              </w:rPr>
              <w:t xml:space="preserve">    shap_arr = np.array(shap_values)</w:t>
            </w:r>
          </w:p>
          <w:p>
            <w:pPr>
              <w:spacing w:after="40"/>
            </w:pPr>
            <w:r>
              <w:rPr>
                <w:rFonts w:ascii="Courier New" w:cs="Courier New" w:eastAsia="Courier New" w:hAnsi="Courier New"/>
                <w:color w:val="1E3A5F"/>
                <w:sz w:val="20"/>
                <w:szCs w:val="20"/>
              </w:rPr>
              <w:t xml:space="preserve">    if shap_arr.ndim == 3:</w:t>
            </w:r>
          </w:p>
          <w:p>
            <w:pPr>
              <w:spacing w:after="40"/>
            </w:pPr>
            <w:r>
              <w:rPr>
                <w:rFonts w:ascii="Courier New" w:cs="Courier New" w:eastAsia="Courier New" w:hAnsi="Courier New"/>
                <w:color w:val="1E3A5F"/>
                <w:sz w:val="20"/>
                <w:szCs w:val="20"/>
              </w:rPr>
              <w:t xml:space="preserve">        # modern format: (samples, features, classes)</w:t>
            </w:r>
          </w:p>
          <w:p>
            <w:pPr>
              <w:spacing w:after="40"/>
            </w:pPr>
            <w:r>
              <w:rPr>
                <w:rFonts w:ascii="Courier New" w:cs="Courier New" w:eastAsia="Courier New" w:hAnsi="Courier New"/>
                <w:color w:val="1E3A5F"/>
                <w:sz w:val="20"/>
                <w:szCs w:val="20"/>
              </w:rPr>
              <w:t xml:space="preserve">        final_shap = np.abs(shap_arr).mean(axis=(0, 2))</w:t>
            </w:r>
          </w:p>
          <w:p>
            <w:pPr>
              <w:spacing w:after="40"/>
            </w:pPr>
            <w:r>
              <w:rPr>
                <w:rFonts w:ascii="Courier New" w:cs="Courier New" w:eastAsia="Courier New" w:hAnsi="Courier New"/>
                <w:color w:val="1E3A5F"/>
                <w:sz w:val="20"/>
                <w:szCs w:val="20"/>
              </w:rPr>
              <w:t xml:space="preserve">    else:</w:t>
            </w:r>
          </w:p>
          <w:p>
            <w:pPr>
              <w:spacing w:after="40"/>
            </w:pPr>
            <w:r>
              <w:rPr>
                <w:rFonts w:ascii="Courier New" w:cs="Courier New" w:eastAsia="Courier New" w:hAnsi="Courier New"/>
                <w:color w:val="1E3A5F"/>
                <w:sz w:val="20"/>
                <w:szCs w:val="20"/>
              </w:rPr>
              <w:t xml:space="preserve">        final_shap = np.abs(shap_arr).mean(axis=0)</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5E8F0" w:color="auto" w:val="clear"/>
            <w:tcMar>
              <w:top w:type="dxa" w:w="120"/>
              <w:left w:type="dxa" w:w="160"/>
              <w:bottom w:type="dxa" w:w="120"/>
              <w:right w:type="dxa" w:w="160"/>
            </w:tcMar>
          </w:tcPr>
          <w:p>
            <w:pPr>
              <w:spacing w:after="60"/>
            </w:pPr>
            <w:r>
              <w:rPr>
                <w:rFonts w:ascii="Arial" w:cs="Arial" w:eastAsia="Arial" w:hAnsi="Arial"/>
                <w:b/>
                <w:bCs/>
                <w:i/>
                <w:iCs/>
                <w:color w:val="2E75B6"/>
                <w:sz w:val="20"/>
                <w:szCs w:val="20"/>
              </w:rPr>
              <w:t xml:space="preserve">▸ A priori feature-importance hypothesis (to be verified against the Block 22 SHAP output).</w:t>
            </w:r>
          </w:p>
          <w:p>
            <w:pPr>
              <w:spacing w:after="40"/>
              <w:jc w:val="both"/>
            </w:pPr>
            <w:r>
              <w:rPr>
                <w:rFonts w:ascii="Arial" w:cs="Arial" w:eastAsia="Arial" w:hAnsi="Arial"/>
                <w:i/>
                <w:iCs/>
                <w:color w:val="1E3A5F"/>
                <w:sz w:val="20"/>
                <w:szCs w:val="20"/>
              </w:rPr>
              <w:t xml:space="preserve">Behavioural-counter features that directly encode engagement intensity — Engagement_Ratio, Interaction_Density, and Daily_Usage_Time — are hypothesised to dominate SHAP rankings, since they most directly operationalise the “social reward” and “screen-time intensity” constructs that the behavioural-addiction and social-comparison literatures (e.g., Festinger, 1954) link to affect. Static demographic one-hot dummies (individual Gender_* and Platform_* columns) are hypothesised to rank lowest, each carrying only a fraction of the signal of a single continuous engagement counter.</w:t>
            </w:r>
          </w:p>
        </w:tc>
      </w:tr>
    </w:tbl>
    <w:p>
      <w:pPr>
        <w:spacing w:after="140"/>
      </w:pPr>
    </w:p>
    <w:p>
      <w:pPr>
        <w:pStyle w:val="Heading2"/>
        <w:spacing w:after="140" w:before="320"/>
      </w:pPr>
      <w:r>
        <w:rPr>
          <w:rFonts w:ascii="Arial" w:cs="Arial" w:eastAsia="Arial" w:hAnsi="Arial"/>
          <w:b/>
          <w:bCs/>
          <w:color w:val="2E75B6"/>
          <w:sz w:val="28"/>
          <w:szCs w:val="28"/>
        </w:rPr>
        <w:t xml:space="preserve">8.6  Learning Curve Analysis (Block 23)</w:t>
      </w:r>
    </w:p>
    <w:p>
      <w:pPr>
        <w:spacing w:after="120" w:before="0"/>
        <w:jc w:val="both"/>
      </w:pPr>
      <w:r>
        <w:rPr>
          <w:rFonts w:ascii="Arial" w:cs="Arial" w:eastAsia="Arial" w:hAnsi="Arial"/>
          <w:b w:val="false"/>
          <w:bCs w:val="false"/>
          <w:i w:val="false"/>
          <w:iCs w:val="false"/>
          <w:color w:val="000000"/>
          <w:sz w:val="22"/>
          <w:szCs w:val="22"/>
        </w:rPr>
        <w:t xml:space="preserve">A 5-fold cross-validated learning curve is computed for the best tree model across ten linearly-spaced training-set-size fractions (10% to 100% in equal 10-point increments, via np.linspace(0.1, 1.0, 10)), scoring by weighted F1: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BF4FB" w:color="auto" w:val="clear"/>
            <w:tcMar>
              <w:top w:type="dxa" w:w="100"/>
              <w:left w:type="dxa" w:w="140"/>
              <w:bottom w:type="dxa" w:w="100"/>
              <w:right w:type="dxa" w:w="140"/>
            </w:tcMar>
          </w:tcPr>
          <w:p>
            <w:pPr>
              <w:spacing w:after="40"/>
            </w:pPr>
            <w:r>
              <w:rPr>
                <w:rFonts w:ascii="Courier New" w:cs="Courier New" w:eastAsia="Courier New" w:hAnsi="Courier New"/>
                <w:color w:val="1E3A5F"/>
                <w:sz w:val="20"/>
                <w:szCs w:val="20"/>
              </w:rPr>
              <w:t xml:space="preserve">train_sizes, train_scores, val_scores = learning_curve(</w:t>
            </w:r>
          </w:p>
          <w:p>
            <w:pPr>
              <w:spacing w:after="40"/>
            </w:pPr>
            <w:r>
              <w:rPr>
                <w:rFonts w:ascii="Courier New" w:cs="Courier New" w:eastAsia="Courier New" w:hAnsi="Courier New"/>
                <w:color w:val="1E3A5F"/>
                <w:sz w:val="20"/>
                <w:szCs w:val="20"/>
              </w:rPr>
              <w:t xml:space="preserve">    best_tree_model, X_train_scaled, y_train, cv=5, scoring='f1_weighted',</w:t>
            </w:r>
          </w:p>
          <w:p>
            <w:pPr>
              <w:spacing w:after="40"/>
            </w:pPr>
            <w:r>
              <w:rPr>
                <w:rFonts w:ascii="Courier New" w:cs="Courier New" w:eastAsia="Courier New" w:hAnsi="Courier New"/>
                <w:color w:val="1E3A5F"/>
                <w:sz w:val="20"/>
                <w:szCs w:val="20"/>
              </w:rPr>
              <w:t xml:space="preserve">    train_sizes=np.linspace(0.1, 1.0, 10), random_state=42, n_jobs=-1)</w:t>
            </w:r>
          </w:p>
        </w:tc>
      </w:tr>
    </w:tbl>
    <w:p>
      <w:pPr>
        <w:spacing w:after="140"/>
      </w:pPr>
    </w:p>
    <w:p>
      <w:pPr>
        <w:spacing w:after="120" w:before="0"/>
        <w:jc w:val="both"/>
      </w:pPr>
      <w:r>
        <w:rPr>
          <w:rFonts w:ascii="Arial" w:cs="Arial" w:eastAsia="Arial" w:hAnsi="Arial"/>
          <w:b w:val="false"/>
          <w:bCs w:val="false"/>
          <w:i w:val="false"/>
          <w:iCs w:val="false"/>
          <w:color w:val="000000"/>
          <w:sz w:val="22"/>
          <w:szCs w:val="22"/>
        </w:rPr>
        <w:t xml:space="preserve">A persistently wide gap between the training-score curve and the cross-validation-score curve as training size grows is the canonical signature of high variance (overfitting) and would motivate stronger regularisation (lower CatBoost/LightGBM/XGBoost depth, higher l2_leaf_reg); two curves that converge to a low plateau together signal high bias (underfitting) and would motivate additional feature engineering or higher model capacity instead.</w:t>
      </w:r>
    </w:p>
    <w:p>
      <w:pPr>
        <w:pStyle w:val="Heading1"/>
        <w:pBdr>
          <w:bottom w:val="single" w:color="2E75B6" w:sz="6" w:space="1"/>
        </w:pBdr>
        <w:spacing w:after="200" w:before="480"/>
      </w:pPr>
      <w:r>
        <w:rPr>
          <w:rFonts w:ascii="Arial" w:cs="Arial" w:eastAsia="Arial" w:hAnsi="Arial"/>
          <w:b/>
          <w:bCs/>
          <w:caps/>
          <w:color w:val="1E3A5F"/>
          <w:sz w:val="36"/>
          <w:szCs w:val="36"/>
        </w:rPr>
        <w:t xml:space="preserve">9.  MLOps: Pipeline Serialisation &amp; Artefact Management</w:t>
      </w:r>
    </w:p>
    <w:p>
      <w:pPr>
        <w:pStyle w:val="Heading2"/>
        <w:spacing w:after="140" w:before="320"/>
      </w:pPr>
      <w:r>
        <w:rPr>
          <w:rFonts w:ascii="Arial" w:cs="Arial" w:eastAsia="Arial" w:hAnsi="Arial"/>
          <w:b/>
          <w:bCs/>
          <w:color w:val="2E75B6"/>
          <w:sz w:val="28"/>
          <w:szCs w:val="28"/>
        </w:rPr>
        <w:t xml:space="preserve">9.1  Serialisation Strategy — the ChampionModelWrapper Pattern (Block 24)</w:t>
      </w:r>
    </w:p>
    <w:p>
      <w:pPr>
        <w:spacing w:after="120" w:before="0"/>
        <w:jc w:val="both"/>
      </w:pPr>
      <w:r>
        <w:rPr>
          <w:rFonts w:ascii="Arial" w:cs="Arial" w:eastAsia="Arial" w:hAnsi="Arial"/>
          <w:b w:val="false"/>
          <w:bCs w:val="false"/>
          <w:i w:val="false"/>
          <w:iCs w:val="false"/>
          <w:color w:val="000000"/>
          <w:sz w:val="22"/>
          <w:szCs w:val="22"/>
        </w:rPr>
        <w:t xml:space="preserve">A model confined to a Colab runtime has no deployment value. The transition from notebook experiment to production artefact is engineered around a single design decision: every possible champion type — a scikit-learn-compatible tree model, the soft-vote ensemble (a list of three tree models), or a Keras neural network — is wrapped in a common ChampionModelWrapper class that always exposes an identical .predict() / .predict_proba() contract. This means app.py never needs to inspect what kind of object it has loaded from disk; it calls exactly the same two methods regardless of which of the eight candidates won.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BF4FB" w:color="auto" w:val="clear"/>
            <w:tcMar>
              <w:top w:type="dxa" w:w="100"/>
              <w:left w:type="dxa" w:w="140"/>
              <w:bottom w:type="dxa" w:w="100"/>
              <w:right w:type="dxa" w:w="140"/>
            </w:tcMar>
          </w:tcPr>
          <w:p>
            <w:pPr>
              <w:spacing w:after="40"/>
            </w:pPr>
            <w:r>
              <w:rPr>
                <w:rFonts w:ascii="Courier New" w:cs="Courier New" w:eastAsia="Courier New" w:hAnsi="Courier New"/>
                <w:color w:val="1E3A5F"/>
                <w:sz w:val="20"/>
                <w:szCs w:val="20"/>
              </w:rPr>
              <w:t xml:space="preserve">class ChampionModelWrapper:</w:t>
            </w:r>
          </w:p>
          <w:p>
            <w:pPr>
              <w:spacing w:after="40"/>
            </w:pPr>
            <w:r>
              <w:rPr>
                <w:rFonts w:ascii="Courier New" w:cs="Courier New" w:eastAsia="Courier New" w:hAnsi="Courier New"/>
                <w:color w:val="1E3A5F"/>
                <w:sz w:val="20"/>
                <w:szCs w:val="20"/>
              </w:rPr>
              <w:t xml:space="preserve">    def __init__(self, model_or_models, deploy_type, model_names=None):</w:t>
            </w:r>
          </w:p>
          <w:p>
            <w:pPr>
              <w:spacing w:after="40"/>
            </w:pPr>
            <w:r>
              <w:rPr>
                <w:rFonts w:ascii="Courier New" w:cs="Courier New" w:eastAsia="Courier New" w:hAnsi="Courier New"/>
                <w:color w:val="1E3A5F"/>
                <w:sz w:val="20"/>
                <w:szCs w:val="20"/>
              </w:rPr>
              <w:t xml:space="preserve">        self.deploy_type = deploy_type      # 'Tree' | 'Ensemble' | 'Keras'</w:t>
            </w:r>
          </w:p>
          <w:p>
            <w:pPr>
              <w:spacing w:after="40"/>
            </w:pPr>
            <w:r>
              <w:rPr>
                <w:rFonts w:ascii="Courier New" w:cs="Courier New" w:eastAsia="Courier New" w:hAnsi="Courier New"/>
                <w:color w:val="1E3A5F"/>
                <w:sz w:val="20"/>
                <w:szCs w:val="20"/>
              </w:rPr>
              <w:t xml:space="preserve">        if deploy_type == 'Ensemble':</w:t>
            </w:r>
          </w:p>
          <w:p>
            <w:pPr>
              <w:spacing w:after="40"/>
            </w:pPr>
            <w:r>
              <w:rPr>
                <w:rFonts w:ascii="Courier New" w:cs="Courier New" w:eastAsia="Courier New" w:hAnsi="Courier New"/>
                <w:color w:val="1E3A5F"/>
                <w:sz w:val="20"/>
                <w:szCs w:val="20"/>
              </w:rPr>
              <w:t xml:space="preserve">            self._models = model_or_models  # list of fitted sklearn estimators</w:t>
            </w:r>
          </w:p>
          <w:p>
            <w:pPr>
              <w:spacing w:after="40"/>
            </w:pPr>
            <w:r>
              <w:rPr>
                <w:rFonts w:ascii="Courier New" w:cs="Courier New" w:eastAsia="Courier New" w:hAnsi="Courier New"/>
                <w:color w:val="1E3A5F"/>
                <w:sz w:val="20"/>
                <w:szCs w:val="20"/>
              </w:rPr>
              <w:t xml:space="preserve">        else:</w:t>
            </w:r>
          </w:p>
          <w:p>
            <w:pPr>
              <w:spacing w:after="40"/>
            </w:pPr>
            <w:r>
              <w:rPr>
                <w:rFonts w:ascii="Courier New" w:cs="Courier New" w:eastAsia="Courier New" w:hAnsi="Courier New"/>
                <w:color w:val="1E3A5F"/>
                <w:sz w:val="20"/>
                <w:szCs w:val="20"/>
              </w:rPr>
              <w:t xml:space="preserve">            self._model = model_or_models</w:t>
            </w:r>
          </w:p>
          <w:p>
            <w:pPr>
              <w:spacing w:after="40"/>
            </w:pPr>
            <w:r>
              <w:rPr>
                <w:rFonts w:ascii="Courier New" w:cs="Courier New" w:eastAsia="Courier New" w:hAnsi="Courier New"/>
                <w:color w:val="1E3A5F"/>
                <w:sz w:val="20"/>
                <w:szCs w:val="20"/>
              </w:rPr>
              <w:t xml:space="preserve"/>
            </w:r>
          </w:p>
          <w:p>
            <w:pPr>
              <w:spacing w:after="40"/>
            </w:pPr>
            <w:r>
              <w:rPr>
                <w:rFonts w:ascii="Courier New" w:cs="Courier New" w:eastAsia="Courier New" w:hAnsi="Courier New"/>
                <w:color w:val="1E3A5F"/>
                <w:sz w:val="20"/>
                <w:szCs w:val="20"/>
              </w:rPr>
              <w:t xml:space="preserve">    def predict_proba(self, X):</w:t>
            </w:r>
          </w:p>
          <w:p>
            <w:pPr>
              <w:spacing w:after="40"/>
            </w:pPr>
            <w:r>
              <w:rPr>
                <w:rFonts w:ascii="Courier New" w:cs="Courier New" w:eastAsia="Courier New" w:hAnsi="Courier New"/>
                <w:color w:val="1E3A5F"/>
                <w:sz w:val="20"/>
                <w:szCs w:val="20"/>
              </w:rPr>
              <w:t xml:space="preserve">        if self.deploy_type == 'Ensemble':</w:t>
            </w:r>
          </w:p>
          <w:p>
            <w:pPr>
              <w:spacing w:after="40"/>
            </w:pPr>
            <w:r>
              <w:rPr>
                <w:rFonts w:ascii="Courier New" w:cs="Courier New" w:eastAsia="Courier New" w:hAnsi="Courier New"/>
                <w:color w:val="1E3A5F"/>
                <w:sz w:val="20"/>
                <w:szCs w:val="20"/>
              </w:rPr>
              <w:t xml:space="preserve">            return np.mean([m.predict_proba(X) for m in self._models], axis=0)</w:t>
            </w:r>
          </w:p>
          <w:p>
            <w:pPr>
              <w:spacing w:after="40"/>
            </w:pPr>
            <w:r>
              <w:rPr>
                <w:rFonts w:ascii="Courier New" w:cs="Courier New" w:eastAsia="Courier New" w:hAnsi="Courier New"/>
                <w:color w:val="1E3A5F"/>
                <w:sz w:val="20"/>
                <w:szCs w:val="20"/>
              </w:rPr>
              <w:t xml:space="preserve">        elif self.deploy_type == 'Keras':</w:t>
            </w:r>
          </w:p>
          <w:p>
            <w:pPr>
              <w:spacing w:after="40"/>
            </w:pPr>
            <w:r>
              <w:rPr>
                <w:rFonts w:ascii="Courier New" w:cs="Courier New" w:eastAsia="Courier New" w:hAnsi="Courier New"/>
                <w:color w:val="1E3A5F"/>
                <w:sz w:val="20"/>
                <w:szCs w:val="20"/>
              </w:rPr>
              <w:t xml:space="preserve">            return self._model.predict(X, verbose=0)</w:t>
            </w:r>
          </w:p>
          <w:p>
            <w:pPr>
              <w:spacing w:after="40"/>
            </w:pPr>
            <w:r>
              <w:rPr>
                <w:rFonts w:ascii="Courier New" w:cs="Courier New" w:eastAsia="Courier New" w:hAnsi="Courier New"/>
                <w:color w:val="1E3A5F"/>
                <w:sz w:val="20"/>
                <w:szCs w:val="20"/>
              </w:rPr>
              <w:t xml:space="preserve">        else:</w:t>
            </w:r>
          </w:p>
          <w:p>
            <w:pPr>
              <w:spacing w:after="40"/>
            </w:pPr>
            <w:r>
              <w:rPr>
                <w:rFonts w:ascii="Courier New" w:cs="Courier New" w:eastAsia="Courier New" w:hAnsi="Courier New"/>
                <w:color w:val="1E3A5F"/>
                <w:sz w:val="20"/>
                <w:szCs w:val="20"/>
              </w:rPr>
              <w:t xml:space="preserve">            return self._model.predict_proba(X)</w:t>
            </w:r>
          </w:p>
          <w:p>
            <w:pPr>
              <w:spacing w:after="40"/>
            </w:pPr>
            <w:r>
              <w:rPr>
                <w:rFonts w:ascii="Courier New" w:cs="Courier New" w:eastAsia="Courier New" w:hAnsi="Courier New"/>
                <w:color w:val="1E3A5F"/>
                <w:sz w:val="20"/>
                <w:szCs w:val="20"/>
              </w:rPr>
              <w:t xml:space="preserve"/>
            </w:r>
          </w:p>
          <w:p>
            <w:pPr>
              <w:spacing w:after="40"/>
            </w:pPr>
            <w:r>
              <w:rPr>
                <w:rFonts w:ascii="Courier New" w:cs="Courier New" w:eastAsia="Courier New" w:hAnsi="Courier New"/>
                <w:color w:val="1E3A5F"/>
                <w:sz w:val="20"/>
                <w:szCs w:val="20"/>
              </w:rPr>
              <w:t xml:space="preserve">    def predict(self, X):</w:t>
            </w:r>
          </w:p>
          <w:p>
            <w:pPr>
              <w:spacing w:after="40"/>
            </w:pPr>
            <w:r>
              <w:rPr>
                <w:rFonts w:ascii="Courier New" w:cs="Courier New" w:eastAsia="Courier New" w:hAnsi="Courier New"/>
                <w:color w:val="1E3A5F"/>
                <w:sz w:val="20"/>
                <w:szCs w:val="20"/>
              </w:rPr>
              <w:t xml:space="preserve">        return np.argmax(self.predict_proba(X), axis=1)</w:t>
            </w:r>
          </w:p>
        </w:tc>
      </w:tr>
    </w:tbl>
    <w:p>
      <w:pPr>
        <w:spacing w:after="140"/>
      </w:pPr>
    </w:p>
    <w:p>
      <w:pPr>
        <w:spacing w:after="120" w:before="0"/>
        <w:jc w:val="both"/>
      </w:pPr>
      <w:r>
        <w:rPr>
          <w:rFonts w:ascii="Arial" w:cs="Arial" w:eastAsia="Arial" w:hAnsi="Arial"/>
          <w:b w:val="false"/>
          <w:bCs w:val="false"/>
          <w:i w:val="false"/>
          <w:iCs w:val="false"/>
          <w:color w:val="000000"/>
          <w:sz w:val="22"/>
          <w:szCs w:val="22"/>
        </w:rPr>
        <w:t xml:space="preserve">Keras models cannot be pickled reliably across environments, so a type-conditional branch in Block 24 saves the champion via tf.keras's native .keras format when the winner is MLP or Swish-Net, and via Python pickle (wrapped in ChampionModelWrapper) for every other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BF4FB" w:color="auto" w:val="clear"/>
            <w:tcMar>
              <w:top w:type="dxa" w:w="100"/>
              <w:left w:type="dxa" w:w="140"/>
              <w:bottom w:type="dxa" w:w="100"/>
              <w:right w:type="dxa" w:w="140"/>
            </w:tcMar>
          </w:tcPr>
          <w:p>
            <w:pPr>
              <w:spacing w:after="40"/>
            </w:pPr>
            <w:r>
              <w:rPr>
                <w:rFonts w:ascii="Courier New" w:cs="Courier New" w:eastAsia="Courier New" w:hAnsi="Courier New"/>
                <w:color w:val="1E3A5F"/>
                <w:sz w:val="20"/>
                <w:szCs w:val="20"/>
              </w:rPr>
              <w:t xml:space="preserve">if champion_name in ('MLP', 'Swish-Net'):</w:t>
            </w:r>
          </w:p>
          <w:p>
            <w:pPr>
              <w:spacing w:after="40"/>
            </w:pPr>
            <w:r>
              <w:rPr>
                <w:rFonts w:ascii="Courier New" w:cs="Courier New" w:eastAsia="Courier New" w:hAnsi="Courier New"/>
                <w:color w:val="1E3A5F"/>
                <w:sz w:val="20"/>
                <w:szCs w:val="20"/>
              </w:rPr>
              <w:t xml:space="preserve">    trained_models[champion_name].save('champion_model.keras')      # native Keras format</w:t>
            </w:r>
          </w:p>
          <w:p>
            <w:pPr>
              <w:spacing w:after="40"/>
            </w:pPr>
            <w:r>
              <w:rPr>
                <w:rFonts w:ascii="Courier New" w:cs="Courier New" w:eastAsia="Courier New" w:hAnsi="Courier New"/>
                <w:color w:val="1E3A5F"/>
                <w:sz w:val="20"/>
                <w:szCs w:val="20"/>
              </w:rPr>
              <w:t xml:space="preserve">elif champion_name == 'Soft-Vote Ensemble':</w:t>
            </w:r>
          </w:p>
          <w:p>
            <w:pPr>
              <w:spacing w:after="40"/>
            </w:pPr>
            <w:r>
              <w:rPr>
                <w:rFonts w:ascii="Courier New" w:cs="Courier New" w:eastAsia="Courier New" w:hAnsi="Courier New"/>
                <w:color w:val="1E3A5F"/>
                <w:sz w:val="20"/>
                <w:szCs w:val="20"/>
              </w:rPr>
              <w:t xml:space="preserve">    wrapper = ChampionModelWrapper(</w:t>
            </w:r>
          </w:p>
          <w:p>
            <w:pPr>
              <w:spacing w:after="40"/>
            </w:pPr>
            <w:r>
              <w:rPr>
                <w:rFonts w:ascii="Courier New" w:cs="Courier New" w:eastAsia="Courier New" w:hAnsi="Courier New"/>
                <w:color w:val="1E3A5F"/>
                <w:sz w:val="20"/>
                <w:szCs w:val="20"/>
              </w:rPr>
              <w:t xml:space="preserve">        [trained_models[n] for n in top3_names], 'Ensemble', top3_names)</w:t>
            </w:r>
          </w:p>
          <w:p>
            <w:pPr>
              <w:spacing w:after="40"/>
            </w:pPr>
            <w:r>
              <w:rPr>
                <w:rFonts w:ascii="Courier New" w:cs="Courier New" w:eastAsia="Courier New" w:hAnsi="Courier New"/>
                <w:color w:val="1E3A5F"/>
                <w:sz w:val="20"/>
                <w:szCs w:val="20"/>
              </w:rPr>
              <w:t xml:space="preserve">    pickle.dump(wrapper, open('champion_model.pkl', 'wb'))</w:t>
            </w:r>
          </w:p>
          <w:p>
            <w:pPr>
              <w:spacing w:after="40"/>
            </w:pPr>
            <w:r>
              <w:rPr>
                <w:rFonts w:ascii="Courier New" w:cs="Courier New" w:eastAsia="Courier New" w:hAnsi="Courier New"/>
                <w:color w:val="1E3A5F"/>
                <w:sz w:val="20"/>
                <w:szCs w:val="20"/>
              </w:rPr>
              <w:t xml:space="preserve">else:</w:t>
            </w:r>
          </w:p>
          <w:p>
            <w:pPr>
              <w:spacing w:after="40"/>
            </w:pPr>
            <w:r>
              <w:rPr>
                <w:rFonts w:ascii="Courier New" w:cs="Courier New" w:eastAsia="Courier New" w:hAnsi="Courier New"/>
                <w:color w:val="1E3A5F"/>
                <w:sz w:val="20"/>
                <w:szCs w:val="20"/>
              </w:rPr>
              <w:t xml:space="preserve">    wrapper = ChampionModelWrapper(trained_models[champion_name], 'Tree')</w:t>
            </w:r>
          </w:p>
          <w:p>
            <w:pPr>
              <w:spacing w:after="40"/>
            </w:pPr>
            <w:r>
              <w:rPr>
                <w:rFonts w:ascii="Courier New" w:cs="Courier New" w:eastAsia="Courier New" w:hAnsi="Courier New"/>
                <w:color w:val="1E3A5F"/>
                <w:sz w:val="20"/>
                <w:szCs w:val="20"/>
              </w:rPr>
              <w:t xml:space="preserve">    pickle.dump(wrapper, open('champion_model.pkl', 'wb'))</w:t>
            </w:r>
          </w:p>
        </w:tc>
      </w:tr>
    </w:tbl>
    <w:p>
      <w:pPr>
        <w:spacing w:after="140"/>
      </w:pPr>
    </w:p>
    <w:p>
      <w:pPr>
        <w:pStyle w:val="Heading2"/>
        <w:spacing w:after="140" w:before="320"/>
      </w:pPr>
      <w:r>
        <w:rPr>
          <w:rFonts w:ascii="Arial" w:cs="Arial" w:eastAsia="Arial" w:hAnsi="Arial"/>
          <w:b/>
          <w:bCs/>
          <w:color w:val="2E75B6"/>
          <w:sz w:val="28"/>
          <w:szCs w:val="28"/>
        </w:rPr>
        <w:t xml:space="preserve">9.2  Complete Serialised Artefact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vAlign w:val="center"/>
          </w:tcPr>
          <w:p>
            <w:r>
              <w:rPr>
                <w:rFonts w:ascii="Arial" w:cs="Arial" w:eastAsia="Arial" w:hAnsi="Arial"/>
                <w:b/>
                <w:bCs/>
                <w:color w:val="1E3A5F"/>
                <w:sz w:val="20"/>
                <w:szCs w:val="20"/>
              </w:rPr>
              <w:t xml:space="preserve">Artefact Filename</w:t>
            </w:r>
          </w:p>
        </w:tc>
        <w:tc>
          <w:tcPr>
            <w:tcW w:type="dxa" w:w="696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vAlign w:val="center"/>
          </w:tcPr>
          <w:p>
            <w:r>
              <w:rPr>
                <w:rFonts w:ascii="Arial" w:cs="Arial" w:eastAsia="Arial" w:hAnsi="Arial"/>
                <w:b/>
                <w:bCs/>
                <w:color w:val="1E3A5F"/>
                <w:sz w:val="20"/>
                <w:szCs w:val="20"/>
              </w:rPr>
              <w:t xml:space="preserve">Contents &amp; Deployment Role</w:t>
            </w:r>
          </w:p>
        </w:tc>
      </w:tr>
      <w:tr>
        <w:tc>
          <w:tcPr>
            <w:tcW w:type="dxa" w:w="2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champion_model.pkl / .keras</w:t>
            </w:r>
          </w:p>
        </w:tc>
        <w:tc>
          <w:tcPr>
            <w:tcW w:type="dxa" w:w="69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The winning model, wrapped in ChampionModelWrapper (Tree/Ensemble) or saved natively (Keras). Primary inference engine for every Streamlit prediction.</w:t>
            </w:r>
          </w:p>
        </w:tc>
      </w:tr>
      <w:tr>
        <w:tc>
          <w:tcPr>
            <w:tcW w:type="dxa" w:w="2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scaler.pkl</w:t>
            </w:r>
          </w:p>
        </w:tc>
        <w:tc>
          <w:tcPr>
            <w:tcW w:type="dxa" w:w="69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Fitted StandardScaler (Section 5.4) — training-derived mean_/scale_ parameters, applied to every live inference input before model.predict_proba().</w:t>
            </w:r>
          </w:p>
        </w:tc>
      </w:tr>
      <w:tr>
        <w:tc>
          <w:tcPr>
            <w:tcW w:type="dxa" w:w="2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encoder.pkl</w:t>
            </w:r>
          </w:p>
        </w:tc>
        <w:tc>
          <w:tcPr>
            <w:tcW w:type="dxa" w:w="69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Fitted LabelEncoder (Section 5.2) — maps the champion's integer class predictions back to the six human-readable emotion strings.</w:t>
            </w:r>
          </w:p>
        </w:tc>
      </w:tr>
      <w:tr>
        <w:tc>
          <w:tcPr>
            <w:tcW w:type="dxa" w:w="2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pipeline_metadata.pkl</w:t>
            </w:r>
          </w:p>
        </w:tc>
        <w:tc>
          <w:tcPr>
            <w:tcW w:type="dxa" w:w="69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Dictionary containing: retained_features_list, label_encoder_classes, model_deployment_type, champion_model_name, dropped_features, n_classes, feature_importance, confusion_matrix, model_performance (the full 8-row results_df), class_distribution, ensemble_model_names, best_tree_model_name. Consumed wholesale by the NeuroSense “Performance” and “Feature Lab” tabs.</w:t>
            </w:r>
          </w:p>
        </w:tc>
      </w:tr>
      <w:tr>
        <w:tc>
          <w:tcPr>
            <w:tcW w:type="dxa" w:w="2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best_tree_model.pkl</w:t>
            </w:r>
          </w:p>
        </w:tc>
        <w:tc>
          <w:tcPr>
            <w:tcW w:type="dxa" w:w="69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The best individually-scoring tree model, serialised separately so app.py can compute live SHAP explanations even when the deployed champion itself is not tree-structured (Section 8.5).</w:t>
            </w:r>
          </w:p>
        </w:tc>
      </w:tr>
    </w:tbl>
    <w:p>
      <w:pPr>
        <w:spacing w:after="140"/>
      </w:pPr>
    </w:p>
    <w:p>
      <w:pPr>
        <w:pStyle w:val="Heading2"/>
        <w:spacing w:after="140" w:before="320"/>
      </w:pPr>
      <w:r>
        <w:rPr>
          <w:rFonts w:ascii="Arial" w:cs="Arial" w:eastAsia="Arial" w:hAnsi="Arial"/>
          <w:b/>
          <w:bCs/>
          <w:color w:val="2E75B6"/>
          <w:sz w:val="28"/>
          <w:szCs w:val="28"/>
        </w:rPr>
        <w:t xml:space="preserve">9.3  Engineering Bug Fixes &amp; Resilience Patches</w:t>
      </w:r>
    </w:p>
    <w:p>
      <w:pPr>
        <w:spacing w:after="120" w:before="0"/>
        <w:jc w:val="both"/>
      </w:pPr>
      <w:r>
        <w:rPr>
          <w:rFonts w:ascii="Arial" w:cs="Arial" w:eastAsia="Arial" w:hAnsi="Arial"/>
          <w:b w:val="false"/>
          <w:bCs w:val="false"/>
          <w:i w:val="false"/>
          <w:iCs w:val="false"/>
          <w:color w:val="000000"/>
          <w:sz w:val="22"/>
          <w:szCs w:val="22"/>
        </w:rPr>
        <w:t xml:space="preserve">Seven concrete engineering failures were discovered and durably fixed during pipeline hardening — each representative of a class of bug common to notebook-to-production ML transitions: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60"/>
        <w:gridCol w:w="4600"/>
      </w:tblGrid>
      <w:tr>
        <w:trPr>
          <w:tblHeader/>
        </w:trPr>
        <w:tc>
          <w:tcPr>
            <w:tcW w:type="dxa" w:w="22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vAlign w:val="center"/>
          </w:tcPr>
          <w:p>
            <w:r>
              <w:rPr>
                <w:rFonts w:ascii="Arial" w:cs="Arial" w:eastAsia="Arial" w:hAnsi="Arial"/>
                <w:b/>
                <w:bCs/>
                <w:color w:val="1E3A5F"/>
                <w:sz w:val="20"/>
                <w:szCs w:val="20"/>
              </w:rPr>
              <w:t xml:space="preserve">Bug</w:t>
            </w:r>
          </w:p>
        </w:tc>
        <w:tc>
          <w:tcPr>
            <w:tcW w:type="dxa" w:w="256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vAlign w:val="center"/>
          </w:tcPr>
          <w:p>
            <w:r>
              <w:rPr>
                <w:rFonts w:ascii="Arial" w:cs="Arial" w:eastAsia="Arial" w:hAnsi="Arial"/>
                <w:b/>
                <w:bCs/>
                <w:color w:val="1E3A5F"/>
                <w:sz w:val="20"/>
                <w:szCs w:val="20"/>
              </w:rPr>
              <w:t xml:space="preserve">Root Cause</w:t>
            </w:r>
          </w:p>
        </w:tc>
        <w:tc>
          <w:tcPr>
            <w:tcW w:type="dxa" w:w="46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vAlign w:val="center"/>
          </w:tcPr>
          <w:p>
            <w:r>
              <w:rPr>
                <w:rFonts w:ascii="Arial" w:cs="Arial" w:eastAsia="Arial" w:hAnsi="Arial"/>
                <w:b/>
                <w:bCs/>
                <w:color w:val="1E3A5F"/>
                <w:sz w:val="20"/>
                <w:szCs w:val="20"/>
              </w:rPr>
              <w:t xml:space="preserve">Fix</w:t>
            </w:r>
          </w:p>
        </w:tc>
      </w:tr>
      <w:tr>
        <w:tc>
          <w:tcPr>
            <w:tcW w:type="dxa" w:w="2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SHAP 3-D array crash</w:t>
            </w:r>
          </w:p>
        </w:tc>
        <w:tc>
          <w:tcPr>
            <w:tcW w:type="dxa" w:w="25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Newer SHAP releases return a (samples, features, classes) 3-D ndarray for multi-class TreeExplainer output; wrapping it directly in pd.Series(...) throws “Data must be 1-dimensional.”</w:t>
            </w:r>
          </w:p>
        </w:tc>
        <w:tc>
          <w:tcPr>
            <w:tcW w:type="dxa" w:w="46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Explicit ndim == 3 branch → np.abs(arr).mean(axis=(0,2)) before constructing the Series (Section 8.5).</w:t>
            </w:r>
          </w:p>
        </w:tc>
      </w:tr>
      <w:tr>
        <w:tc>
          <w:tcPr>
            <w:tcW w:type="dxa" w:w="2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Pickle AttributeError on load</w:t>
            </w:r>
          </w:p>
        </w:tc>
        <w:tc>
          <w:tcPr>
            <w:tcW w:type="dxa" w:w="25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Unpickling an object whose class definition is absent from the importing module's namespace raises AttributeError, even though the pickle itself is valid.</w:t>
            </w:r>
          </w:p>
        </w:tc>
        <w:tc>
          <w:tcPr>
            <w:tcW w:type="dxa" w:w="46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ChampionModelWrapper is defined at the top of app.py, before any pickle.load() call, guaranteeing the class exists in-scope at deserialisation time.</w:t>
            </w:r>
          </w:p>
        </w:tc>
      </w:tr>
      <w:tr>
        <w:tc>
          <w:tcPr>
            <w:tcW w:type="dxa" w:w="2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Streamlit Cloud out-of-memory crash</w:t>
            </w:r>
          </w:p>
        </w:tc>
        <w:tc>
          <w:tcPr>
            <w:tcW w:type="dxa" w:w="25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The full tensorflow package bundles GPU kernels and can exceed 500MB, overrunning Streamlit Community Cloud's 1GB RAM ceiling.</w:t>
            </w:r>
          </w:p>
        </w:tc>
        <w:tc>
          <w:tcPr>
            <w:tcW w:type="dxa" w:w="46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requirements.txt pins tensorflow-cpu instead of tensorflow, and app.py imports TensorFlow lazily — only inside load_artifacts(), and only when model_deployment_type == 'Keras'.</w:t>
            </w:r>
          </w:p>
        </w:tc>
      </w:tr>
      <w:tr>
        <w:tc>
          <w:tcPr>
            <w:tcW w:type="dxa" w:w="2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Python 3.12 wheel incompatibility</w:t>
            </w:r>
          </w:p>
        </w:tc>
        <w:tc>
          <w:tcPr>
            <w:tcW w:type="dxa" w:w="25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tensorflow, shap, and catboost lacked stable Python 3.12 wheels at authoring time, causing build failures on newer default runtimes.</w:t>
            </w:r>
          </w:p>
        </w:tc>
        <w:tc>
          <w:tcPr>
            <w:tcW w:type="dxa" w:w="46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A .python-version file pinning 3.10 forces Streamlit Cloud to provision a compatible interpreter.</w:t>
            </w:r>
          </w:p>
        </w:tc>
      </w:tr>
      <w:tr>
        <w:tc>
          <w:tcPr>
            <w:tcW w:type="dxa" w:w="2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LabelEncoder crash on unseen label</w:t>
            </w:r>
          </w:p>
        </w:tc>
        <w:tc>
          <w:tcPr>
            <w:tcW w:type="dxa" w:w="25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The “Agression” typo in val.csv (Section 3.2, Anomaly #7) is a class LabelEncoder never saw during encoder.fit_transform(y_train), so encoder.transform() on the uncorrected string raises ValueError.</w:t>
            </w:r>
          </w:p>
        </w:tc>
        <w:tc>
          <w:tcPr>
            <w:tcW w:type="dxa" w:w="46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LABEL_TYPO_MAP correction is applied in Block 2, Stage 3.5 — before any encoding step, not after.</w:t>
            </w:r>
          </w:p>
        </w:tc>
      </w:tr>
      <w:tr>
        <w:tc>
          <w:tcPr>
            <w:tcW w:type="dxa" w:w="2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Inconsistent pickle contract across model types</w:t>
            </w:r>
          </w:p>
        </w:tc>
        <w:tc>
          <w:tcPr>
            <w:tcW w:type="dxa" w:w="25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A tree model exposes .predict_proba() directly; the ensemble is a bare list of three models with no unified interface; a Keras model exposes .predict() but not .predict_proba().</w:t>
            </w:r>
          </w:p>
        </w:tc>
        <w:tc>
          <w:tcPr>
            <w:tcW w:type="dxa" w:w="46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ChampionModelWrapper (Section 9.1) normalises all three into one .predict_proba()/.predict() contract.</w:t>
            </w:r>
          </w:p>
        </w:tc>
      </w:tr>
      <w:tr>
        <w:tc>
          <w:tcPr>
            <w:tcW w:type="dxa" w:w="2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Hardcoded Colab paths</w:t>
            </w:r>
          </w:p>
        </w:tc>
        <w:tc>
          <w:tcPr>
            <w:tcW w:type="dxa" w:w="25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A literal 'datasets/train.csv' path fails whenever the notebook's working directory is not the project root (common when re-opened in a fresh Colab session).</w:t>
            </w:r>
          </w:p>
        </w:tc>
        <w:tc>
          <w:tcPr>
            <w:tcW w:type="dxa" w:w="46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Block 2 dynamically resolves DATA_DIR, falling back from 'datasets/' to the current working directory and raising a descriptive FileNotFoundError with explicit remediation guidance if neither exists.</w:t>
            </w:r>
          </w:p>
        </w:tc>
      </w:tr>
    </w:tbl>
    <w:p>
      <w:pPr>
        <w:spacing w:after="140"/>
      </w:pPr>
    </w:p>
    <w:p>
      <w:pPr>
        <w:pStyle w:val="Heading1"/>
        <w:pBdr>
          <w:bottom w:val="single" w:color="2E75B6" w:sz="6" w:space="1"/>
        </w:pBdr>
        <w:spacing w:after="200" w:before="480"/>
      </w:pPr>
      <w:r>
        <w:rPr>
          <w:rFonts w:ascii="Arial" w:cs="Arial" w:eastAsia="Arial" w:hAnsi="Arial"/>
          <w:b/>
          <w:bCs/>
          <w:caps/>
          <w:color w:val="1E3A5F"/>
          <w:sz w:val="36"/>
          <w:szCs w:val="36"/>
        </w:rPr>
        <w:t xml:space="preserve">10.  Web Application — NeuroSense v3 Emotion Analytics Platform</w:t>
      </w:r>
    </w:p>
    <w:p>
      <w:pPr>
        <w:pStyle w:val="Heading2"/>
        <w:spacing w:after="140" w:before="320"/>
      </w:pPr>
      <w:r>
        <w:rPr>
          <w:rFonts w:ascii="Arial" w:cs="Arial" w:eastAsia="Arial" w:hAnsi="Arial"/>
          <w:b/>
          <w:bCs/>
          <w:color w:val="2E75B6"/>
          <w:sz w:val="28"/>
          <w:szCs w:val="28"/>
        </w:rPr>
        <w:t xml:space="preserve">10.1  Framework Selection &amp; Architecture Philosophy</w:t>
      </w:r>
    </w:p>
    <w:p>
      <w:pPr>
        <w:spacing w:after="120" w:before="0"/>
        <w:jc w:val="both"/>
      </w:pPr>
      <w:r>
        <w:rPr>
          <w:rFonts w:ascii="Arial" w:cs="Arial" w:eastAsia="Arial" w:hAnsi="Arial"/>
          <w:b w:val="false"/>
          <w:bCs w:val="false"/>
          <w:i w:val="false"/>
          <w:iCs w:val="false"/>
          <w:color w:val="000000"/>
          <w:sz w:val="22"/>
          <w:szCs w:val="22"/>
        </w:rPr>
        <w:t xml:space="preserve">NeuroSense v3 (app.py, 1,222 lines) is engineered as a single-page, six-tab Streamlit application. Streamlit was selected over a Flask/Django + separate frontend split for four concrete architectural reasons:</w:t>
      </w:r>
    </w:p>
    <w:p>
      <w:pPr>
        <w:pStyle w:val="ListParagraph"/>
        <w:numPr>
          <w:ilvl w:val="0"/>
          <w:numId w:val="1"/>
        </w:numPr>
        <w:spacing w:after="80"/>
        <w:jc w:val="both"/>
      </w:pPr>
      <w:r>
        <w:rPr>
          <w:rFonts w:ascii="Arial" w:cs="Arial" w:eastAsia="Arial" w:hAnsi="Arial"/>
          <w:sz w:val="22"/>
          <w:szCs w:val="22"/>
        </w:rPr>
        <w:t xml:space="preserve">Native Python Integration: direct use of the same pandas, NumPy, scikit-learn, and ChampionModelWrapper objects produced by the training pipeline, with no REST serialisation boundary or JSON marshalling layer to keep in sync.</w:t>
      </w:r>
    </w:p>
    <w:p>
      <w:pPr>
        <w:pStyle w:val="ListParagraph"/>
        <w:numPr>
          <w:ilvl w:val="0"/>
          <w:numId w:val="1"/>
        </w:numPr>
        <w:spacing w:after="80"/>
        <w:jc w:val="both"/>
      </w:pPr>
      <w:r>
        <w:rPr>
          <w:rFonts w:ascii="Arial" w:cs="Arial" w:eastAsia="Arial" w:hAnsi="Arial"/>
          <w:sz w:val="22"/>
          <w:szCs w:val="22"/>
        </w:rPr>
        <w:t xml:space="preserve">Reactive Execution Model: the Streamlit runtime automatically re-executes the script and re-renders affected widgets whenever an input control changes, enabling a fully interactive Predict/What-If experience with no client-side JavaScript state management.</w:t>
      </w:r>
    </w:p>
    <w:p>
      <w:pPr>
        <w:pStyle w:val="ListParagraph"/>
        <w:numPr>
          <w:ilvl w:val="0"/>
          <w:numId w:val="1"/>
        </w:numPr>
        <w:spacing w:after="80"/>
        <w:jc w:val="both"/>
      </w:pPr>
      <w:r>
        <w:rPr>
          <w:rFonts w:ascii="Arial" w:cs="Arial" w:eastAsia="Arial" w:hAnsi="Arial"/>
          <w:sz w:val="22"/>
          <w:szCs w:val="22"/>
        </w:rPr>
        <w:t xml:space="preserve">@st.cache_resource Artefact Caching: load_artifacts() (scaler, encoder, champion model, metadata, best tree model) executes exactly once per server process and is served from memory on every subsequent user interaction across every session.</w:t>
      </w:r>
    </w:p>
    <w:p>
      <w:pPr>
        <w:pStyle w:val="ListParagraph"/>
        <w:numPr>
          <w:ilvl w:val="0"/>
          <w:numId w:val="1"/>
        </w:numPr>
        <w:spacing w:after="80"/>
        <w:jc w:val="both"/>
      </w:pPr>
      <w:r>
        <w:rPr>
          <w:rFonts w:ascii="Arial" w:cs="Arial" w:eastAsia="Arial" w:hAnsi="Arial"/>
          <w:sz w:val="22"/>
          <w:szCs w:val="22"/>
        </w:rPr>
        <w:t xml:space="preserve">Zero-Infrastructure Deployment: a GitHub push plus a Streamlit Community Cloud connection yields a live, publicly reachable production URL with no Docker image, VM, or reverse proxy to manage — the live deployment target of Section 10.5.</w:t>
      </w:r>
    </w:p>
    <w:p>
      <w:pPr>
        <w:pStyle w:val="Heading2"/>
        <w:spacing w:after="140" w:before="320"/>
      </w:pPr>
      <w:r>
        <w:rPr>
          <w:rFonts w:ascii="Arial" w:cs="Arial" w:eastAsia="Arial" w:hAnsi="Arial"/>
          <w:b/>
          <w:bCs/>
          <w:color w:val="2E75B6"/>
          <w:sz w:val="28"/>
          <w:szCs w:val="28"/>
        </w:rPr>
        <w:t xml:space="preserve">10.2  UI Design System</w:t>
      </w:r>
    </w:p>
    <w:p>
      <w:pPr>
        <w:spacing w:after="120" w:before="0"/>
        <w:jc w:val="both"/>
      </w:pPr>
      <w:r>
        <w:rPr>
          <w:rFonts w:ascii="Arial" w:cs="Arial" w:eastAsia="Arial" w:hAnsi="Arial"/>
          <w:b w:val="false"/>
          <w:bCs w:val="false"/>
          <w:i w:val="false"/>
          <w:iCs w:val="false"/>
          <w:color w:val="000000"/>
          <w:sz w:val="22"/>
          <w:szCs w:val="22"/>
        </w:rPr>
        <w:t xml:space="preserve">NeuroSense implements a dark, glassmorphism-styled design system via a single injected CSS block (st.markdown(..., unsafe_allow_html=True)), replacing Streamlit's default light theme entirely.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vAlign w:val="center"/>
          </w:tcPr>
          <w:p>
            <w:r>
              <w:rPr>
                <w:rFonts w:ascii="Arial" w:cs="Arial" w:eastAsia="Arial" w:hAnsi="Arial"/>
                <w:b/>
                <w:bCs/>
                <w:color w:val="1E3A5F"/>
                <w:sz w:val="20"/>
                <w:szCs w:val="20"/>
              </w:rPr>
              <w:t xml:space="preserve">Design Token</w:t>
            </w:r>
          </w:p>
        </w:tc>
        <w:tc>
          <w:tcPr>
            <w:tcW w:type="dxa" w:w="696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vAlign w:val="center"/>
          </w:tcPr>
          <w:p>
            <w:r>
              <w:rPr>
                <w:rFonts w:ascii="Arial" w:cs="Arial" w:eastAsia="Arial" w:hAnsi="Arial"/>
                <w:b/>
                <w:bCs/>
                <w:color w:val="1E3A5F"/>
                <w:sz w:val="20"/>
                <w:szCs w:val="20"/>
              </w:rPr>
              <w:t xml:space="preserve">Value &amp; Purpose</w:t>
            </w:r>
          </w:p>
        </w:tc>
      </w:tr>
      <w:tr>
        <w:tc>
          <w:tcPr>
            <w:tcW w:type="dxa" w:w="2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Background</w:t>
            </w:r>
          </w:p>
        </w:tc>
        <w:tc>
          <w:tcPr>
            <w:tcW w:type="dxa" w:w="69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linear-gradient(135°, #05051a → #0a0a2e → #10103a → #0d0d30 → #05051a), animated via a 25s background-position drift keyframe — a slow-moving deep-space navy gradient.</w:t>
            </w:r>
          </w:p>
        </w:tc>
      </w:tr>
      <w:tr>
        <w:tc>
          <w:tcPr>
            <w:tcW w:type="dxa" w:w="2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Accent 1 (Violet)</w:t>
            </w:r>
          </w:p>
        </w:tc>
        <w:tc>
          <w:tcPr>
            <w:tcW w:type="dxa" w:w="69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#7c3aed — primary interactive colour: buttons, active tab state, chart primaries, hero title gradient start.</w:t>
            </w:r>
          </w:p>
        </w:tc>
      </w:tr>
      <w:tr>
        <w:tc>
          <w:tcPr>
            <w:tcW w:type="dxa" w:w="2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Accent 2 (Teal)</w:t>
            </w:r>
          </w:p>
        </w:tc>
        <w:tc>
          <w:tcPr>
            <w:tcW w:type="dxa" w:w="69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#06d6a0 — secondary accent: gradient endpoints, positive/neutral emotion colour, confidence-gauge high band.</w:t>
            </w:r>
          </w:p>
        </w:tc>
      </w:tr>
      <w:tr>
        <w:tc>
          <w:tcPr>
            <w:tcW w:type="dxa" w:w="2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Accent 3 (Blue)</w:t>
            </w:r>
          </w:p>
        </w:tc>
        <w:tc>
          <w:tcPr>
            <w:tcW w:type="dxa" w:w="69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#3b82f6 — tertiary accent, used for the Sadness emotion colour and select chart traces.</w:t>
            </w:r>
          </w:p>
        </w:tc>
      </w:tr>
      <w:tr>
        <w:tc>
          <w:tcPr>
            <w:tcW w:type="dxa" w:w="2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Glass Card</w:t>
            </w:r>
          </w:p>
        </w:tc>
        <w:tc>
          <w:tcPr>
            <w:tcW w:type="dxa" w:w="69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rgba(255,255,255,0.03) background, backdrop-filter: blur(14px), 1px rgba(255,255,255,0.06) border, with an animated top-border gradient sliver — the .gl utility class used for every content panel.</w:t>
            </w:r>
          </w:p>
        </w:tc>
      </w:tr>
      <w:tr>
        <w:tc>
          <w:tcPr>
            <w:tcW w:type="dxa" w:w="2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Typography</w:t>
            </w:r>
          </w:p>
        </w:tc>
        <w:tc>
          <w:tcPr>
            <w:tcW w:type="dxa" w:w="69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Inter (body text), Space Grotesk (hero title / section values — display face), JetBrains Mono (feature tags, metric labels — monospace).</w:t>
            </w:r>
          </w:p>
        </w:tc>
      </w:tr>
      <w:tr>
        <w:tc>
          <w:tcPr>
            <w:tcW w:type="dxa" w:w="2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Result Card (“.neon”)</w:t>
            </w:r>
          </w:p>
        </w:tc>
        <w:tc>
          <w:tcPr>
            <w:tcW w:type="dxa" w:w="69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Elevated glass card with a coloured glow (box-shadow) matched to the predicted emotion's accent colour, animated pop-in for the emoji icon.</w:t>
            </w:r>
          </w:p>
        </w:tc>
      </w:tr>
    </w:tbl>
    <w:p>
      <w:pPr>
        <w:spacing w:after="140"/>
      </w:pPr>
    </w:p>
    <w:p>
      <w:pPr>
        <w:pStyle w:val="Heading2"/>
        <w:spacing w:after="140" w:before="320"/>
      </w:pPr>
      <w:r>
        <w:rPr>
          <w:rFonts w:ascii="Arial" w:cs="Arial" w:eastAsia="Arial" w:hAnsi="Arial"/>
          <w:b/>
          <w:bCs/>
          <w:color w:val="2E75B6"/>
          <w:sz w:val="28"/>
          <w:szCs w:val="28"/>
        </w:rPr>
        <w:t xml:space="preserve">10.3  Six-Tab Application Architecture</w:t>
      </w:r>
    </w:p>
    <w:p>
      <w:pPr>
        <w:spacing w:after="100" w:before="0"/>
        <w:jc w:val="both"/>
      </w:pPr>
      <w:r>
        <w:rPr>
          <w:rFonts w:ascii="Arial" w:cs="Arial" w:eastAsia="Arial" w:hAnsi="Arial"/>
          <w:b w:val="false"/>
          <w:bCs w:val="false"/>
          <w:i/>
          <w:iCs/>
          <w:color w:val="595959"/>
          <w:sz w:val="20"/>
          <w:szCs w:val="20"/>
        </w:rPr>
        <w:t xml:space="preserve">Each tab carries a themed icon in the live application (Predict = crystal ball, Batch = folder, Performance = bar chart, Feature Lab = microscope, What-If = control knobs, About = info) — omitted below in favour of plain labels for print legibility.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vAlign w:val="center"/>
          </w:tcPr>
          <w:p>
            <w:r>
              <w:rPr>
                <w:rFonts w:ascii="Arial" w:cs="Arial" w:eastAsia="Arial" w:hAnsi="Arial"/>
                <w:b/>
                <w:bCs/>
                <w:color w:val="1E3A5F"/>
                <w:sz w:val="20"/>
                <w:szCs w:val="20"/>
              </w:rPr>
              <w:t xml:space="preserve">Tab</w:t>
            </w:r>
          </w:p>
        </w:tc>
        <w:tc>
          <w:tcPr>
            <w:tcW w:type="dxa" w:w="796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vAlign w:val="center"/>
          </w:tcPr>
          <w:p>
            <w:r>
              <w:rPr>
                <w:rFonts w:ascii="Arial" w:cs="Arial" w:eastAsia="Arial" w:hAnsi="Arial"/>
                <w:b/>
                <w:bCs/>
                <w:color w:val="1E3A5F"/>
                <w:sz w:val="20"/>
                <w:szCs w:val="20"/>
              </w:rPr>
              <w:t xml:space="preserve">Content &amp; Functionality</w:t>
            </w:r>
          </w:p>
        </w:tc>
      </w:tr>
      <w:tr>
        <w:tc>
          <w:tcPr>
            <w:tcW w:type="dxa" w:w="1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Predict</w:t>
            </w:r>
          </w:p>
        </w:tc>
        <w:tc>
          <w:tcPr>
            <w:tcW w:type="dxa" w:w="79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Demographic (Age slider, Gender/Platform select boxes) and engagement (Usage Time, Posts, Likes, Comments, Messages number inputs) profile form → “Analyze Profile” button → animated emotion result card (emoji + label + confidence) → probability radar chart → horizontal class-probability bar chart → confidence gauge → engineered-features value table → SHAP waterfall plot (via the surrogate best_tree_model, Section 8.5) → probability sunburst chart.</w:t>
            </w:r>
          </w:p>
        </w:tc>
      </w:tr>
      <w:tr>
        <w:tc>
          <w:tcPr>
            <w:tcW w:type="dxa" w:w="1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Batch</w:t>
            </w:r>
          </w:p>
        </w:tc>
        <w:tc>
          <w:tcPr>
            <w:tcW w:type="dxa" w:w="79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CSV upload (expected columns: Age, Gender, Platform, Daily_Usage_Time (minutes), Posts_Per_Day, Likes_Received_Per_Day, Comments_Received_Per_Day, Messages_Sent_Per_Day) → preview table → “Run Batch” button with a live progress bar → per-row prediction + confidence results table → prediction-distribution pie chart → summary stats (average confidence, row count, most frequent predicted emotion) → CSV download of the annotated results.</w:t>
            </w:r>
          </w:p>
        </w:tc>
      </w:tr>
      <w:tr>
        <w:tc>
          <w:tcPr>
            <w:tcW w:type="dxa" w:w="1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Performance</w:t>
            </w:r>
          </w:p>
        </w:tc>
        <w:tc>
          <w:tcPr>
            <w:tcW w:type="dxa" w:w="79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Champion-model banner → six headline metric cards (Accuracy, Precision W, Recall W, F1 Weighted, Precision Macro, F1 Macro) sourced from pipeline_metadata.pkl['model_performance'][0] → full 8-model comparison dataframe with per-column max-value highlighting → horizontal F1-Score (Weighted) ranking bar → top-15 feature-importance bar → normalised confusion-matrix heatmap → training-set class-distribution bar chart.</w:t>
            </w:r>
          </w:p>
        </w:tc>
      </w:tr>
      <w:tr>
        <w:tc>
          <w:tcPr>
            <w:tcW w:type="dxa" w:w="1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Feature Lab</w:t>
            </w:r>
          </w:p>
        </w:tc>
        <w:tc>
          <w:tcPr>
            <w:tcW w:type="dxa" w:w="79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Six engineered-feature explainer cards (name, formula, plain-language description — Section 5.1) → ranked SHAP/feature-importance list with inline proportional progress bars → tag-grid listing every retained feature actually consumed by the champion.</w:t>
            </w:r>
          </w:p>
        </w:tc>
      </w:tr>
      <w:tr>
        <w:tc>
          <w:tcPr>
            <w:tcW w:type="dxa" w:w="1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What-If</w:t>
            </w:r>
          </w:p>
        </w:tc>
        <w:tc>
          <w:tcPr>
            <w:tcW w:type="dxa" w:w="79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Baseline profile controls identical to the Predict tab → a single “feature to sweep” selector (Daily Usage Time, Posts Per Day, Likes Received, Comments Received, Messages Sent, or Age) swept across a realistic range → a multi-line probability-vs-sweep-value chart (one line per emotion) → an emoji strip showing the arg-max predicted emotion at each sweep point → a sensitivity-summary panel ranking each emotion by its probability range (Δ = max−min) across the sweep, surfacing which single input the champion is most sensitive to.</w:t>
            </w:r>
          </w:p>
        </w:tc>
      </w:tr>
      <w:tr>
        <w:tc>
          <w:tcPr>
            <w:tcW w:type="dxa" w:w="1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About</w:t>
            </w:r>
          </w:p>
        </w:tc>
        <w:tc>
          <w:tcPr>
            <w:tcW w:type="dxa" w:w="79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Data-pipeline and evaluation-methodology bullet summaries → full 8-model roster → tech-stack table (ML/DL, XAI, Frontend, Data layers) → a horizontal system-architecture flow diagram (Raw CSVs → Cleaning → Feature Eng → Scaling → Champion → Predict) → a deployment-precautions table (champion name, deployment type, pickle contract, TensorFlow strategy, Python version, retained feature count).</w:t>
            </w:r>
          </w:p>
        </w:tc>
      </w:tr>
    </w:tbl>
    <w:p>
      <w:pPr>
        <w:spacing w:after="140"/>
      </w:pPr>
    </w:p>
    <w:p>
      <w:pPr>
        <w:pStyle w:val="Heading2"/>
        <w:spacing w:after="140" w:before="320"/>
      </w:pPr>
      <w:r>
        <w:rPr>
          <w:rFonts w:ascii="Arial" w:cs="Arial" w:eastAsia="Arial" w:hAnsi="Arial"/>
          <w:b/>
          <w:bCs/>
          <w:color w:val="2E75B6"/>
          <w:sz w:val="28"/>
          <w:szCs w:val="28"/>
        </w:rPr>
        <w:t xml:space="preserve">10.4  Inference Pipeline (Stateless)</w:t>
      </w:r>
    </w:p>
    <w:p>
      <w:pPr>
        <w:spacing w:after="120" w:before="0"/>
        <w:jc w:val="both"/>
      </w:pPr>
      <w:r>
        <w:rPr>
          <w:rFonts w:ascii="Arial" w:cs="Arial" w:eastAsia="Arial" w:hAnsi="Arial"/>
          <w:b w:val="false"/>
          <w:bCs w:val="false"/>
          <w:i w:val="false"/>
          <w:iCs w:val="false"/>
          <w:color w:val="000000"/>
          <w:sz w:val="22"/>
          <w:szCs w:val="22"/>
        </w:rPr>
        <w:t xml:space="preserve">The end-to-end path from raw user input to a rendered prediction is implemented in two helper functions, _build() and _predict(), executed synchronously inside the reactive Streamlit callback: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BF4FB" w:color="auto" w:val="clear"/>
            <w:tcMar>
              <w:top w:type="dxa" w:w="100"/>
              <w:left w:type="dxa" w:w="140"/>
              <w:bottom w:type="dxa" w:w="100"/>
              <w:right w:type="dxa" w:w="140"/>
            </w:tcMar>
          </w:tcPr>
          <w:p>
            <w:pPr>
              <w:spacing w:after="40"/>
            </w:pPr>
            <w:r>
              <w:rPr>
                <w:rFonts w:ascii="Courier New" w:cs="Courier New" w:eastAsia="Courier New" w:hAnsi="Courier New"/>
                <w:color w:val="1E3A5F"/>
                <w:sz w:val="20"/>
                <w:szCs w:val="20"/>
              </w:rPr>
              <w:t xml:space="preserve">def _build(age, gender, platform, usage, posts, likes, comments, messages):</w:t>
            </w:r>
          </w:p>
          <w:p>
            <w:pPr>
              <w:spacing w:after="40"/>
            </w:pPr>
            <w:r>
              <w:rPr>
                <w:rFonts w:ascii="Courier New" w:cs="Courier New" w:eastAsia="Courier New" w:hAnsi="Courier New"/>
                <w:color w:val="1E3A5F"/>
                <w:sz w:val="20"/>
                <w:szCs w:val="20"/>
              </w:rPr>
              <w:t xml:space="preserve">    raw = {</w:t>
            </w:r>
          </w:p>
          <w:p>
            <w:pPr>
              <w:spacing w:after="40"/>
            </w:pPr>
            <w:r>
              <w:rPr>
                <w:rFonts w:ascii="Courier New" w:cs="Courier New" w:eastAsia="Courier New" w:hAnsi="Courier New"/>
                <w:color w:val="1E3A5F"/>
                <w:sz w:val="20"/>
                <w:szCs w:val="20"/>
              </w:rPr>
              <w:t xml:space="preserve">        'Age': age,</w:t>
            </w:r>
          </w:p>
          <w:p>
            <w:pPr>
              <w:spacing w:after="40"/>
            </w:pPr>
            <w:r>
              <w:rPr>
                <w:rFonts w:ascii="Courier New" w:cs="Courier New" w:eastAsia="Courier New" w:hAnsi="Courier New"/>
                <w:color w:val="1E3A5F"/>
                <w:sz w:val="20"/>
                <w:szCs w:val="20"/>
              </w:rPr>
              <w:t xml:space="preserve">        'Daily_Usage_Time (minutes)': usage,</w:t>
            </w:r>
          </w:p>
          <w:p>
            <w:pPr>
              <w:spacing w:after="40"/>
            </w:pPr>
            <w:r>
              <w:rPr>
                <w:rFonts w:ascii="Courier New" w:cs="Courier New" w:eastAsia="Courier New" w:hAnsi="Courier New"/>
                <w:color w:val="1E3A5F"/>
                <w:sz w:val="20"/>
                <w:szCs w:val="20"/>
              </w:rPr>
              <w:t xml:space="preserve">        'Posts_Per_Day': posts,</w:t>
            </w:r>
          </w:p>
          <w:p>
            <w:pPr>
              <w:spacing w:after="40"/>
            </w:pPr>
            <w:r>
              <w:rPr>
                <w:rFonts w:ascii="Courier New" w:cs="Courier New" w:eastAsia="Courier New" w:hAnsi="Courier New"/>
                <w:color w:val="1E3A5F"/>
                <w:sz w:val="20"/>
                <w:szCs w:val="20"/>
              </w:rPr>
              <w:t xml:space="preserve">        'Likes_Received_Per_Day': likes,</w:t>
            </w:r>
          </w:p>
          <w:p>
            <w:pPr>
              <w:spacing w:after="40"/>
            </w:pPr>
            <w:r>
              <w:rPr>
                <w:rFonts w:ascii="Courier New" w:cs="Courier New" w:eastAsia="Courier New" w:hAnsi="Courier New"/>
                <w:color w:val="1E3A5F"/>
                <w:sz w:val="20"/>
                <w:szCs w:val="20"/>
              </w:rPr>
              <w:t xml:space="preserve">        'Comments_Received_Per_Day': comments,</w:t>
            </w:r>
          </w:p>
          <w:p>
            <w:pPr>
              <w:spacing w:after="40"/>
            </w:pPr>
            <w:r>
              <w:rPr>
                <w:rFonts w:ascii="Courier New" w:cs="Courier New" w:eastAsia="Courier New" w:hAnsi="Courier New"/>
                <w:color w:val="1E3A5F"/>
                <w:sz w:val="20"/>
                <w:szCs w:val="20"/>
              </w:rPr>
              <w:t xml:space="preserve">        'Messages_Sent_Per_Day': messages,</w:t>
            </w:r>
          </w:p>
          <w:p>
            <w:pPr>
              <w:spacing w:after="40"/>
            </w:pPr>
            <w:r>
              <w:rPr>
                <w:rFonts w:ascii="Courier New" w:cs="Courier New" w:eastAsia="Courier New" w:hAnsi="Courier New"/>
                <w:color w:val="1E3A5F"/>
                <w:sz w:val="20"/>
                <w:szCs w:val="20"/>
              </w:rPr>
              <w:t xml:space="preserve">        'Interaction_Density': (likes + comments) / (usage + EPS),</w:t>
            </w:r>
          </w:p>
          <w:p>
            <w:pPr>
              <w:spacing w:after="40"/>
            </w:pPr>
            <w:r>
              <w:rPr>
                <w:rFonts w:ascii="Courier New" w:cs="Courier New" w:eastAsia="Courier New" w:hAnsi="Courier New"/>
                <w:color w:val="1E3A5F"/>
                <w:sz w:val="20"/>
                <w:szCs w:val="20"/>
              </w:rPr>
              <w:t xml:space="preserve">        'Social_Velocity': likes / (posts + EPS),</w:t>
            </w:r>
          </w:p>
          <w:p>
            <w:pPr>
              <w:spacing w:after="40"/>
            </w:pPr>
            <w:r>
              <w:rPr>
                <w:rFonts w:ascii="Courier New" w:cs="Courier New" w:eastAsia="Courier New" w:hAnsi="Courier New"/>
                <w:color w:val="1E3A5F"/>
                <w:sz w:val="20"/>
                <w:szCs w:val="20"/>
              </w:rPr>
              <w:t xml:space="preserve">        'Conversational_Reciprocity': messages / (comments + EPS),</w:t>
            </w:r>
          </w:p>
          <w:p>
            <w:pPr>
              <w:spacing w:after="40"/>
            </w:pPr>
            <w:r>
              <w:rPr>
                <w:rFonts w:ascii="Courier New" w:cs="Courier New" w:eastAsia="Courier New" w:hAnsi="Courier New"/>
                <w:color w:val="1E3A5F"/>
                <w:sz w:val="20"/>
                <w:szCs w:val="20"/>
              </w:rPr>
              <w:t xml:space="preserve">        'Attention_Index': usage / (posts + EPS),</w:t>
            </w:r>
          </w:p>
          <w:p>
            <w:pPr>
              <w:spacing w:after="40"/>
            </w:pPr>
            <w:r>
              <w:rPr>
                <w:rFonts w:ascii="Courier New" w:cs="Courier New" w:eastAsia="Courier New" w:hAnsi="Courier New"/>
                <w:color w:val="1E3A5F"/>
                <w:sz w:val="20"/>
                <w:szCs w:val="20"/>
              </w:rPr>
              <w:t xml:space="preserve">        'Engagement_Ratio': (likes + comments + messages) / (usage + EPS),</w:t>
            </w:r>
          </w:p>
          <w:p>
            <w:pPr>
              <w:spacing w:after="40"/>
            </w:pPr>
            <w:r>
              <w:rPr>
                <w:rFonts w:ascii="Courier New" w:cs="Courier New" w:eastAsia="Courier New" w:hAnsi="Courier New"/>
                <w:color w:val="1E3A5F"/>
                <w:sz w:val="20"/>
                <w:szCs w:val="20"/>
              </w:rPr>
              <w:t xml:space="preserve">        'Content_Efficiency': likes / (usage * posts + EPS),</w:t>
            </w:r>
          </w:p>
          <w:p>
            <w:pPr>
              <w:spacing w:after="40"/>
            </w:pPr>
            <w:r>
              <w:rPr>
                <w:rFonts w:ascii="Courier New" w:cs="Courier New" w:eastAsia="Courier New" w:hAnsi="Courier New"/>
                <w:color w:val="1E3A5F"/>
                <w:sz w:val="20"/>
                <w:szCs w:val="20"/>
              </w:rPr>
              <w:t xml:space="preserve">    }</w:t>
            </w:r>
          </w:p>
          <w:p>
            <w:pPr>
              <w:spacing w:after="40"/>
            </w:pPr>
            <w:r>
              <w:rPr>
                <w:rFonts w:ascii="Courier New" w:cs="Courier New" w:eastAsia="Courier New" w:hAnsi="Courier New"/>
                <w:color w:val="1E3A5F"/>
                <w:sz w:val="20"/>
                <w:szCs w:val="20"/>
              </w:rPr>
              <w:t xml:space="preserve">    # zero-init a row against the exact champion feature schema, then fill it in</w:t>
            </w:r>
          </w:p>
          <w:p>
            <w:pPr>
              <w:spacing w:after="40"/>
            </w:pPr>
            <w:r>
              <w:rPr>
                <w:rFonts w:ascii="Courier New" w:cs="Courier New" w:eastAsia="Courier New" w:hAnsi="Courier New"/>
                <w:color w:val="1E3A5F"/>
                <w:sz w:val="20"/>
                <w:szCs w:val="20"/>
              </w:rPr>
              <w:t xml:space="preserve">    row = pd.DataFrame(columns=FEATURES, data=[np.zeros(len(FEATURES))])</w:t>
            </w:r>
          </w:p>
          <w:p>
            <w:pPr>
              <w:spacing w:after="40"/>
            </w:pPr>
            <w:r>
              <w:rPr>
                <w:rFonts w:ascii="Courier New" w:cs="Courier New" w:eastAsia="Courier New" w:hAnsi="Courier New"/>
                <w:color w:val="1E3A5F"/>
                <w:sz w:val="20"/>
                <w:szCs w:val="20"/>
              </w:rPr>
              <w:t xml:space="preserve">    for c, v in raw.items():</w:t>
            </w:r>
          </w:p>
          <w:p>
            <w:pPr>
              <w:spacing w:after="40"/>
            </w:pPr>
            <w:r>
              <w:rPr>
                <w:rFonts w:ascii="Courier New" w:cs="Courier New" w:eastAsia="Courier New" w:hAnsi="Courier New"/>
                <w:color w:val="1E3A5F"/>
                <w:sz w:val="20"/>
                <w:szCs w:val="20"/>
              </w:rPr>
              <w:t xml:space="preserve">        if c in row.columns: row[c] = v</w:t>
            </w:r>
          </w:p>
          <w:p>
            <w:pPr>
              <w:spacing w:after="40"/>
            </w:pPr>
            <w:r>
              <w:rPr>
                <w:rFonts w:ascii="Courier New" w:cs="Courier New" w:eastAsia="Courier New" w:hAnsi="Courier New"/>
                <w:color w:val="1E3A5F"/>
                <w:sz w:val="20"/>
                <w:szCs w:val="20"/>
              </w:rPr>
              <w:t xml:space="preserve">    row[f'Gender_{gender}']     = 1.0   # one-hot activation</w:t>
            </w:r>
          </w:p>
          <w:p>
            <w:pPr>
              <w:spacing w:after="40"/>
            </w:pPr>
            <w:r>
              <w:rPr>
                <w:rFonts w:ascii="Courier New" w:cs="Courier New" w:eastAsia="Courier New" w:hAnsi="Courier New"/>
                <w:color w:val="1E3A5F"/>
                <w:sz w:val="20"/>
                <w:szCs w:val="20"/>
              </w:rPr>
              <w:t xml:space="preserve">    row[f'Platform_{platform}'] = 1.0</w:t>
            </w:r>
          </w:p>
          <w:p>
            <w:pPr>
              <w:spacing w:after="40"/>
            </w:pPr>
            <w:r>
              <w:rPr>
                <w:rFonts w:ascii="Courier New" w:cs="Courier New" w:eastAsia="Courier New" w:hAnsi="Courier New"/>
                <w:color w:val="1E3A5F"/>
                <w:sz w:val="20"/>
                <w:szCs w:val="20"/>
              </w:rPr>
              <w:t xml:space="preserve">    return scaler.transform(row), raw</w:t>
            </w:r>
          </w:p>
          <w:p>
            <w:pPr>
              <w:spacing w:after="40"/>
            </w:pPr>
            <w:r>
              <w:rPr>
                <w:rFonts w:ascii="Courier New" w:cs="Courier New" w:eastAsia="Courier New" w:hAnsi="Courier New"/>
                <w:color w:val="1E3A5F"/>
                <w:sz w:val="20"/>
                <w:szCs w:val="20"/>
              </w:rPr>
              <w:t xml:space="preserve"/>
            </w:r>
          </w:p>
          <w:p>
            <w:pPr>
              <w:spacing w:after="40"/>
            </w:pPr>
            <w:r>
              <w:rPr>
                <w:rFonts w:ascii="Courier New" w:cs="Courier New" w:eastAsia="Courier New" w:hAnsi="Courier New"/>
                <w:color w:val="1E3A5F"/>
                <w:sz w:val="20"/>
                <w:szCs w:val="20"/>
              </w:rPr>
              <w:t xml:space="preserve">def _predict(X_scaled):</w:t>
            </w:r>
          </w:p>
          <w:p>
            <w:pPr>
              <w:spacing w:after="40"/>
            </w:pPr>
            <w:r>
              <w:rPr>
                <w:rFonts w:ascii="Courier New" w:cs="Courier New" w:eastAsia="Courier New" w:hAnsi="Courier New"/>
                <w:color w:val="1E3A5F"/>
                <w:sz w:val="20"/>
                <w:szCs w:val="20"/>
              </w:rPr>
              <w:t xml:space="preserve">    return model.predict_proba(X_scaled)[0]      # model = the loaded ChampionModelWrapper</w:t>
            </w:r>
          </w:p>
        </w:tc>
      </w:tr>
    </w:tbl>
    <w:p>
      <w:pPr>
        <w:spacing w:after="140"/>
      </w:pPr>
    </w:p>
    <w:p>
      <w:pPr>
        <w:spacing w:after="120" w:before="0"/>
        <w:jc w:val="both"/>
      </w:pPr>
      <w:r>
        <w:rPr>
          <w:rFonts w:ascii="Arial" w:cs="Arial" w:eastAsia="Arial" w:hAnsi="Arial"/>
          <w:b w:val="false"/>
          <w:bCs w:val="false"/>
          <w:i w:val="false"/>
          <w:iCs w:val="false"/>
          <w:color w:val="000000"/>
          <w:sz w:val="22"/>
          <w:szCs w:val="22"/>
        </w:rPr>
        <w:t xml:space="preserve">Zero-initialising the feature row against the exact FEATURES list persisted in pipeline_metadata.pkl (rather than reconstructing the schema by hand in app.py) guarantees the inference-time feature vector always matches the champion's training-time schema, even after the multicollinearity filter (Section 5.3) has dropped an unpredictable subset of columns.</w:t>
      </w:r>
    </w:p>
    <w:p>
      <w:pPr>
        <w:pStyle w:val="Heading2"/>
        <w:spacing w:after="140" w:before="320"/>
      </w:pPr>
      <w:r>
        <w:rPr>
          <w:rFonts w:ascii="Arial" w:cs="Arial" w:eastAsia="Arial" w:hAnsi="Arial"/>
          <w:b/>
          <w:bCs/>
          <w:color w:val="2E75B6"/>
          <w:sz w:val="28"/>
          <w:szCs w:val="28"/>
        </w:rPr>
        <w:t xml:space="preserve">10.5  Deployment &amp; Production Hosting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vAlign w:val="center"/>
          </w:tcPr>
          <w:p>
            <w:r>
              <w:rPr>
                <w:rFonts w:ascii="Arial" w:cs="Arial" w:eastAsia="Arial" w:hAnsi="Arial"/>
                <w:b/>
                <w:bCs/>
                <w:color w:val="1E3A5F"/>
                <w:sz w:val="20"/>
                <w:szCs w:val="20"/>
              </w:rPr>
              <w:t xml:space="preserve">Deployment Property</w:t>
            </w:r>
          </w:p>
        </w:tc>
        <w:tc>
          <w:tcPr>
            <w:tcW w:type="dxa" w:w="676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vAlign w:val="center"/>
          </w:tcPr>
          <w:p>
            <w:r>
              <w:rPr>
                <w:rFonts w:ascii="Arial" w:cs="Arial" w:eastAsia="Arial" w:hAnsi="Arial"/>
                <w:b/>
                <w:bCs/>
                <w:color w:val="1E3A5F"/>
                <w:sz w:val="20"/>
                <w:szCs w:val="20"/>
              </w:rPr>
              <w:t xml:space="preserve">Details</w:t>
            </w:r>
          </w:p>
        </w:tc>
      </w:tr>
      <w:tr>
        <w:tc>
          <w:tcPr>
            <w:tcW w:type="dxa" w:w="26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Hosting Platform</w:t>
            </w:r>
          </w:p>
        </w:tc>
        <w:tc>
          <w:tcPr>
            <w:tcW w:type="dxa" w:w="67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Streamlit Community Cloud (streamlit.io/cloud).</w:t>
            </w:r>
          </w:p>
        </w:tc>
      </w:tr>
      <w:tr>
        <w:tc>
          <w:tcPr>
            <w:tcW w:type="dxa" w:w="26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Live URL</w:t>
            </w:r>
          </w:p>
        </w:tc>
        <w:tc>
          <w:tcPr>
            <w:tcW w:type="dxa" w:w="67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https://sentinet-social-11.streamlit.app/</w:t>
            </w:r>
          </w:p>
        </w:tc>
      </w:tr>
      <w:tr>
        <w:tc>
          <w:tcPr>
            <w:tcW w:type="dxa" w:w="26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Repository Contents</w:t>
            </w:r>
          </w:p>
        </w:tc>
        <w:tc>
          <w:tcPr>
            <w:tcW w:type="dxa" w:w="67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app.py, requirements.txt, .python-version, champion_model.pkl/.keras, scaler.pkl, encoder.pkl, pipeline_metadata.pkl, best_tree_model.pkl.</w:t>
            </w:r>
          </w:p>
        </w:tc>
      </w:tr>
      <w:tr>
        <w:tc>
          <w:tcPr>
            <w:tcW w:type="dxa" w:w="26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Python Version</w:t>
            </w:r>
          </w:p>
        </w:tc>
        <w:tc>
          <w:tcPr>
            <w:tcW w:type="dxa" w:w="67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3.10, enforced via .python-version (Section 9.3) — avoids the 3.12 wheel-availability failures of tensorflow / shap / catboost.</w:t>
            </w:r>
          </w:p>
        </w:tc>
      </w:tr>
      <w:tr>
        <w:tc>
          <w:tcPr>
            <w:tcW w:type="dxa" w:w="26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Dependencies (13)</w:t>
            </w:r>
          </w:p>
        </w:tc>
        <w:tc>
          <w:tcPr>
            <w:tcW w:type="dxa" w:w="67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streamlit&gt;=1.30.0, numpy&gt;=1.24.0, pandas&gt;=2.0.0, scikit-learn&gt;=1.3.0, tensorflow-cpu&gt;=2.14.0, lightgbm&gt;=4.0.0, catboost&gt;=1.2.0, xgboost&gt;=1.7.0, shap&gt;=0.42.0, matplotlib&gt;=3.7.0, seaborn&gt;=0.12.0, plotly&gt;=5.18.0, scipy&gt;=1.10.0.</w:t>
            </w:r>
          </w:p>
        </w:tc>
      </w:tr>
      <w:tr>
        <w:tc>
          <w:tcPr>
            <w:tcW w:type="dxa" w:w="26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Model Loading</w:t>
            </w:r>
          </w:p>
        </w:tc>
        <w:tc>
          <w:tcPr>
            <w:tcW w:type="dxa" w:w="67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@st.cache_resource ensures load_artifacts() executes once per server process and is reused across every concurrent user session.</w:t>
            </w:r>
          </w:p>
        </w:tc>
      </w:tr>
      <w:tr>
        <w:tc>
          <w:tcPr>
            <w:tcW w:type="dxa" w:w="26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TensorFlow Strategy</w:t>
            </w:r>
          </w:p>
        </w:tc>
        <w:tc>
          <w:tcPr>
            <w:tcW w:type="dxa" w:w="67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Imported lazily inside load_artifacts(), and only when pipeline_metadata.pkl['model_deployment_type'] == 'Keras' — zero TensorFlow import cost when a tree model or the ensemble wins the tournament.</w:t>
            </w:r>
          </w:p>
        </w:tc>
      </w:tr>
    </w:tbl>
    <w:p>
      <w:pPr>
        <w:spacing w:after="140"/>
      </w:pPr>
    </w:p>
    <w:p>
      <w:pPr>
        <w:pStyle w:val="Heading1"/>
        <w:pBdr>
          <w:bottom w:val="single" w:color="2E75B6" w:sz="6" w:space="1"/>
        </w:pBdr>
        <w:spacing w:after="200" w:before="480"/>
      </w:pPr>
      <w:r>
        <w:rPr>
          <w:rFonts w:ascii="Arial" w:cs="Arial" w:eastAsia="Arial" w:hAnsi="Arial"/>
          <w:b/>
          <w:bCs/>
          <w:caps/>
          <w:color w:val="1E3A5F"/>
          <w:sz w:val="36"/>
          <w:szCs w:val="36"/>
        </w:rPr>
        <w:t xml:space="preserve">11.  Assumptions, Limitations &amp; Ethical Considerations</w:t>
      </w:r>
    </w:p>
    <w:p>
      <w:pPr>
        <w:pStyle w:val="Heading2"/>
        <w:spacing w:after="140" w:before="320"/>
      </w:pPr>
      <w:r>
        <w:rPr>
          <w:rFonts w:ascii="Arial" w:cs="Arial" w:eastAsia="Arial" w:hAnsi="Arial"/>
          <w:b/>
          <w:bCs/>
          <w:color w:val="2E75B6"/>
          <w:sz w:val="28"/>
          <w:szCs w:val="28"/>
        </w:rPr>
        <w:t xml:space="preserve">11.1  Modelling Assumptions</w:t>
      </w:r>
    </w:p>
    <w:p>
      <w:pPr>
        <w:pStyle w:val="ListParagraph"/>
        <w:numPr>
          <w:ilvl w:val="0"/>
          <w:numId w:val="1"/>
        </w:numPr>
        <w:spacing w:after="80"/>
        <w:jc w:val="both"/>
      </w:pPr>
      <w:r>
        <w:rPr>
          <w:rFonts w:ascii="Arial" w:cs="Arial" w:eastAsia="Arial" w:hAnsi="Arial"/>
          <w:sz w:val="22"/>
          <w:szCs w:val="22"/>
        </w:rPr>
        <w:t xml:space="preserve">Label Validity: Dominant_Emotion is treated as ground truth throughout this MDD, though the source dataset does not document its elicitation protocol — whether the label is self-reported, externally annotated, or synthetically generated is not specified in the published dataset documentation. This is a first-order epistemic assumption underlying every accuracy claim this pipeline produces.</w:t>
      </w:r>
    </w:p>
    <w:p>
      <w:pPr>
        <w:pStyle w:val="ListParagraph"/>
        <w:numPr>
          <w:ilvl w:val="0"/>
          <w:numId w:val="1"/>
        </w:numPr>
        <w:spacing w:after="80"/>
        <w:jc w:val="both"/>
      </w:pPr>
      <w:r>
        <w:rPr>
          <w:rFonts w:ascii="Arial" w:cs="Arial" w:eastAsia="Arial" w:hAnsi="Arial"/>
          <w:sz w:val="22"/>
          <w:szCs w:val="22"/>
        </w:rPr>
        <w:t xml:space="preserve">Cross-Sectional Independence: each row is modelled as an i.i.d. user-day snapshot. User_ID is dropped as non-predictive (Section 3.2, Stage 5) before this assumption is ever tested; if the same user contributes multiple rows across the train/val/test partitions, some degree of user-level leakage cannot be ruled out from the schema alone.</w:t>
      </w:r>
    </w:p>
    <w:p>
      <w:pPr>
        <w:pStyle w:val="ListParagraph"/>
        <w:numPr>
          <w:ilvl w:val="0"/>
          <w:numId w:val="1"/>
        </w:numPr>
        <w:spacing w:after="80"/>
        <w:jc w:val="both"/>
      </w:pPr>
      <w:r>
        <w:rPr>
          <w:rFonts w:ascii="Arial" w:cs="Arial" w:eastAsia="Arial" w:hAnsi="Arial"/>
          <w:sz w:val="22"/>
          <w:szCs w:val="22"/>
        </w:rPr>
        <w:t xml:space="preserve">Feature Sufficiency: eight raw behavioural/demographic counters are assumed sufficient to characterise a six-way emotional state. No textual post content, biometric signal, or temporal sequence of a user's own prior emotional states is used — a deliberately narrow feature scope inherited directly from the source dataset.</w:t>
      </w:r>
    </w:p>
    <w:p>
      <w:pPr>
        <w:pStyle w:val="ListParagraph"/>
        <w:numPr>
          <w:ilvl w:val="0"/>
          <w:numId w:val="1"/>
        </w:numPr>
        <w:spacing w:after="80"/>
        <w:jc w:val="both"/>
      </w:pPr>
      <w:r>
        <w:rPr>
          <w:rFonts w:ascii="Arial" w:cs="Arial" w:eastAsia="Arial" w:hAnsi="Arial"/>
          <w:sz w:val="22"/>
          <w:szCs w:val="22"/>
        </w:rPr>
        <w:t xml:space="preserve">Category Closure: Gender is restricted to the three values enumerated in VALID_GENDERS, and Platform to the seven enumerated in VALID_PLATFORMS; any real-world value outside these closed sets is filtered out entirely during cleaning (Section 3.2), not imputed, meaning the trained model cannot meaningfully score a user reporting a Gender or Platform value outside this fixed schema.</w:t>
      </w:r>
    </w:p>
    <w:p>
      <w:pPr>
        <w:pStyle w:val="ListParagraph"/>
        <w:numPr>
          <w:ilvl w:val="0"/>
          <w:numId w:val="1"/>
        </w:numPr>
        <w:spacing w:after="80"/>
        <w:jc w:val="both"/>
      </w:pPr>
      <w:r>
        <w:rPr>
          <w:rFonts w:ascii="Arial" w:cs="Arial" w:eastAsia="Arial" w:hAnsi="Arial"/>
          <w:sz w:val="22"/>
          <w:szCs w:val="22"/>
        </w:rPr>
        <w:t xml:space="preserve">Static Behavioural Snapshot: usage counters are daily aggregates. The model cannot capture within-day mood dynamics, and the dataset's cross-sectional design cannot establish a causal direction between usage and emotion — elevated usage may drive emotional state, emotional state may drive usage, or a shared confound may drive both. No causal claim is made or supported by this pipeline.</w:t>
      </w:r>
    </w:p>
    <w:p>
      <w:pPr>
        <w:pStyle w:val="Heading2"/>
        <w:spacing w:after="140" w:before="320"/>
      </w:pPr>
      <w:r>
        <w:rPr>
          <w:rFonts w:ascii="Arial" w:cs="Arial" w:eastAsia="Arial" w:hAnsi="Arial"/>
          <w:b/>
          <w:bCs/>
          <w:color w:val="2E75B6"/>
          <w:sz w:val="28"/>
          <w:szCs w:val="28"/>
        </w:rPr>
        <w:t xml:space="preserve">11.2  Known Limitations</w:t>
      </w:r>
    </w:p>
    <w:p>
      <w:pPr>
        <w:pStyle w:val="ListParagraph"/>
        <w:numPr>
          <w:ilvl w:val="0"/>
          <w:numId w:val="1"/>
        </w:numPr>
        <w:spacing w:after="80"/>
        <w:jc w:val="both"/>
      </w:pPr>
      <w:r>
        <w:rPr>
          <w:rFonts w:ascii="Arial" w:cs="Arial" w:eastAsia="Arial" w:hAnsi="Arial"/>
          <w:sz w:val="22"/>
          <w:szCs w:val="22"/>
        </w:rPr>
        <w:t xml:space="preserve">Residual Class-Imbalance Risk: class_weight='balanced' / auto_class_weights='Balanced' / compute_sample_weight('balanced', …) mitigate but do not eliminate minority-class underperformance; macro-F1 (Section 8.1) must be monitored alongside weighted-F1, and a champion selected purely by weighted-F1 (Block 19's rule) could still under-serve a minority emotion class.</w:t>
      </w:r>
    </w:p>
    <w:p>
      <w:pPr>
        <w:pStyle w:val="ListParagraph"/>
        <w:numPr>
          <w:ilvl w:val="0"/>
          <w:numId w:val="1"/>
        </w:numPr>
        <w:spacing w:after="80"/>
        <w:jc w:val="both"/>
      </w:pPr>
      <w:r>
        <w:rPr>
          <w:rFonts w:ascii="Arial" w:cs="Arial" w:eastAsia="Arial" w:hAnsi="Arial"/>
          <w:sz w:val="22"/>
          <w:szCs w:val="22"/>
        </w:rPr>
        <w:t xml:space="preserve">No Temporal / Sequential Modelling: unlike sequence-aware architectures, both the MLP and Swish-Net treat every row independently; a user's emotional trajectory across consecutive days — arguably the more clinically meaningful signal — is not modelled by this pipeline in its current form (see Section 12's temporal-modelling roadmap item).</w:t>
      </w:r>
    </w:p>
    <w:p>
      <w:pPr>
        <w:pStyle w:val="ListParagraph"/>
        <w:numPr>
          <w:ilvl w:val="0"/>
          <w:numId w:val="1"/>
        </w:numPr>
        <w:spacing w:after="80"/>
        <w:jc w:val="both"/>
      </w:pPr>
      <w:r>
        <w:rPr>
          <w:rFonts w:ascii="Arial" w:cs="Arial" w:eastAsia="Arial" w:hAnsi="Arial"/>
          <w:sz w:val="22"/>
          <w:szCs w:val="22"/>
        </w:rPr>
        <w:t xml:space="preserve">Single-Dataset External Validity: the pipeline is trained and evaluated exclusively on the Bulut (2024) Kaggle corpus. Generalisation to other social platforms, cultural contexts, age cohorts, or genuine production telemetry (as opposed to a curated research dataset) is unverified and should not be assumed.</w:t>
      </w:r>
    </w:p>
    <w:p>
      <w:pPr>
        <w:pStyle w:val="ListParagraph"/>
        <w:numPr>
          <w:ilvl w:val="0"/>
          <w:numId w:val="1"/>
        </w:numPr>
        <w:spacing w:after="80"/>
        <w:jc w:val="both"/>
      </w:pPr>
      <w:r>
        <w:rPr>
          <w:rFonts w:ascii="Arial" w:cs="Arial" w:eastAsia="Arial" w:hAnsi="Arial"/>
          <w:sz w:val="22"/>
          <w:szCs w:val="22"/>
        </w:rPr>
        <w:t xml:space="preserve">SHAP Explainability Is a Surrogate When the Champion Is Not Tree-Structured: TreeExplainer requires a tree-structured estimator; when the champion is MLP, Swish-Net, or the Soft-Vote Ensemble, both the Section 8.5 SHAP analysis and the in-app “Predict” tab's waterfall plot fall back to the separately-serialised best_tree_model.pkl as an explainability surrogate — an approximation of, and not identical to, the deployed champion's actual decision logic.</w:t>
      </w:r>
    </w:p>
    <w:p>
      <w:pPr>
        <w:pStyle w:val="ListParagraph"/>
        <w:numPr>
          <w:ilvl w:val="0"/>
          <w:numId w:val="1"/>
        </w:numPr>
        <w:spacing w:after="80"/>
        <w:jc w:val="both"/>
      </w:pPr>
      <w:r>
        <w:rPr>
          <w:rFonts w:ascii="Arial" w:cs="Arial" w:eastAsia="Arial" w:hAnsi="Arial"/>
          <w:sz w:val="22"/>
          <w:szCs w:val="22"/>
        </w:rPr>
        <w:t xml:space="preserve">No Formal Probability Calibration: predict_proba() outputs — whether softmax logits, tree-ensemble class-vote fractions, or an averaged ensemble probability — are not passed through any calibration layer (Platt scaling, isotonic regression, or conformal prediction). The “confidence” percentage shown in the Predict tab should be read as a relative model score, not a statistically calibrated probability.</w:t>
      </w:r>
    </w:p>
    <w:p>
      <w:pPr>
        <w:pStyle w:val="ListParagraph"/>
        <w:numPr>
          <w:ilvl w:val="0"/>
          <w:numId w:val="1"/>
        </w:numPr>
        <w:spacing w:after="80"/>
        <w:jc w:val="both"/>
      </w:pPr>
      <w:r>
        <w:rPr>
          <w:rFonts w:ascii="Arial" w:cs="Arial" w:eastAsia="Arial" w:hAnsi="Arial"/>
          <w:sz w:val="22"/>
          <w:szCs w:val="22"/>
        </w:rPr>
        <w:t xml:space="preserve">Engineered-Feature Redundancy Risk: several of the six engineered ratios in Section 5.1 are algebraic recombinations of the same raw counters (e.g., Engagement_Ratio and Interaction_Density both feature Likes and Comments). The r &gt; 0.85 multicollinearity filter (Section 5.3) mitigates the most extreme redundancy but a residual correlation can still distort tree-based feature-importance rankings, which split importance credit across correlated features rather than assigning it cleanly to one.</w:t>
      </w:r>
    </w:p>
    <w:p>
      <w:pPr>
        <w:pStyle w:val="Heading2"/>
        <w:spacing w:after="140" w:before="320"/>
      </w:pPr>
      <w:r>
        <w:rPr>
          <w:rFonts w:ascii="Arial" w:cs="Arial" w:eastAsia="Arial" w:hAnsi="Arial"/>
          <w:b/>
          <w:bCs/>
          <w:color w:val="2E75B6"/>
          <w:sz w:val="28"/>
          <w:szCs w:val="28"/>
        </w:rPr>
        <w:t xml:space="preserve">11.3  Ethical Considerations</w:t>
      </w:r>
    </w:p>
    <w:p>
      <w:pPr>
        <w:spacing w:after="120" w:before="0"/>
        <w:jc w:val="both"/>
      </w:pPr>
      <w:r>
        <w:rPr>
          <w:rFonts w:ascii="Arial" w:cs="Arial" w:eastAsia="Arial" w:hAnsi="Arial"/>
          <w:b w:val="false"/>
          <w:bCs w:val="false"/>
          <w:i w:val="false"/>
          <w:iCs w:val="false"/>
          <w:color w:val="000000"/>
          <w:sz w:val="22"/>
          <w:szCs w:val="22"/>
        </w:rPr>
        <w:t xml:space="preserve">Inferring emotional state from behavioural metadata is a materially more sensitive undertaking than the temperature forecasting or comparable applied-ML tasks in earlier capstone work, and warrants explicit ethical treatment rather than a passing caveat.</w:t>
      </w:r>
    </w:p>
    <w:p>
      <w:pPr>
        <w:pStyle w:val="ListParagraph"/>
        <w:numPr>
          <w:ilvl w:val="0"/>
          <w:numId w:val="1"/>
        </w:numPr>
        <w:spacing w:after="80"/>
        <w:jc w:val="both"/>
      </w:pPr>
      <w:r>
        <w:rPr>
          <w:rFonts w:ascii="Arial" w:cs="Arial" w:eastAsia="Arial" w:hAnsi="Arial"/>
          <w:sz w:val="22"/>
          <w:szCs w:val="22"/>
        </w:rPr>
        <w:t xml:space="preserve">Sensitive Inference Category: automated emotion inference (“affective computing”) is treated as a higher-risk AI application under several emerging regulatory frameworks, particularly when used to inform consequential decisions about a person (employment screening, insurance pricing, credit, or targeted advertising toward a detected emotional vulnerability). NeuroSense, as implemented, is an academic analytics dashboard with no such downstream integration — no ad-tech pipeline, no push-notification targeting, no third-party data export — and this MDD explicitly recommends against extending it toward any consequential or persuasive use without a formal ethics review.</w:t>
      </w:r>
    </w:p>
    <w:p>
      <w:pPr>
        <w:pStyle w:val="ListParagraph"/>
        <w:numPr>
          <w:ilvl w:val="0"/>
          <w:numId w:val="1"/>
        </w:numPr>
        <w:spacing w:after="80"/>
        <w:jc w:val="both"/>
      </w:pPr>
      <w:r>
        <w:rPr>
          <w:rFonts w:ascii="Arial" w:cs="Arial" w:eastAsia="Arial" w:hAnsi="Arial"/>
          <w:sz w:val="22"/>
          <w:szCs w:val="22"/>
        </w:rPr>
        <w:t xml:space="preserve">Risk of Manipulative Downstream Use: a system that can infer Anxiety, Sadness, or Boredom from engagement patterns could, in a different product context, be misused to target emotionally vulnerable users with attention-maximising or manipulative content (a “dark pattern” engagement-optimisation loop). Flagging this risk explicitly, even though the reference implementation does not act on it, is treated here as a required part of responsible documentation rather than an optional addendum.</w:t>
      </w:r>
    </w:p>
    <w:p>
      <w:pPr>
        <w:pStyle w:val="ListParagraph"/>
        <w:numPr>
          <w:ilvl w:val="0"/>
          <w:numId w:val="1"/>
        </w:numPr>
        <w:spacing w:after="80"/>
        <w:jc w:val="both"/>
      </w:pPr>
      <w:r>
        <w:rPr>
          <w:rFonts w:ascii="Arial" w:cs="Arial" w:eastAsia="Arial" w:hAnsi="Arial"/>
          <w:sz w:val="22"/>
          <w:szCs w:val="22"/>
        </w:rPr>
        <w:t xml:space="preserve">Demographic Features as Direct Model Inputs: Age and Gender are consumed directly as predictors (Section 3.3, Section 5.2). A model that learns a strong Gender → Emotion association risks encoding and then amplifying societal stereotypes about which emotions are “expected” from which gender, rather than genuinely detecting an underlying behavioural signal. A formal fairness audit — equalised-odds or demographic-parity testing of the champion's error rates across Gender and Age bands — is recommended before any deployment beyond this academic context (Section 12).</w:t>
      </w:r>
    </w:p>
    <w:p>
      <w:pPr>
        <w:pStyle w:val="ListParagraph"/>
        <w:numPr>
          <w:ilvl w:val="0"/>
          <w:numId w:val="1"/>
        </w:numPr>
        <w:spacing w:after="80"/>
        <w:jc w:val="both"/>
      </w:pPr>
      <w:r>
        <w:rPr>
          <w:rFonts w:ascii="Arial" w:cs="Arial" w:eastAsia="Arial" w:hAnsi="Arial"/>
          <w:sz w:val="22"/>
          <w:szCs w:val="22"/>
        </w:rPr>
        <w:t xml:space="preserve">Data Provenance &amp; Consent: the dataset is a publicly released, de-identified Kaggle corpus (Bulut, 2024). User_ID functions only as an anonymous per-row anchor and is explicitly dropped before modelling (Section 3.2, Stage 5); no personally identifying information is retained in any serialised artefact. Its use here is confined to academic capstone evaluation under the dataset's public licensing terms.</w:t>
      </w:r>
    </w:p>
    <w:p>
      <w:pPr>
        <w:pStyle w:val="ListParagraph"/>
        <w:numPr>
          <w:ilvl w:val="0"/>
          <w:numId w:val="1"/>
        </w:numPr>
        <w:spacing w:after="80"/>
        <w:jc w:val="both"/>
      </w:pPr>
      <w:r>
        <w:rPr>
          <w:rFonts w:ascii="Arial" w:cs="Arial" w:eastAsia="Arial" w:hAnsi="Arial"/>
          <w:sz w:val="22"/>
          <w:szCs w:val="22"/>
        </w:rPr>
        <w:t xml:space="preserve">Psychological Sensitivity of User-Facing Output: the Predict tab (Section 10.3) surfaces a specific emotion label and confidence score directly to an end user. This should be read as a probabilistic pattern-match against a training corpus, not a diagnostic or authoritative statement about the user's actual mental state. The current UI does not display an explicit non-diagnostic disclaimer; adding one is identified in Section 12 as a recommended, low-effort responsible-AI improvement.</w:t>
      </w:r>
    </w:p>
    <w:p>
      <w:pPr>
        <w:pStyle w:val="Heading1"/>
        <w:pBdr>
          <w:bottom w:val="single" w:color="2E75B6" w:sz="6" w:space="1"/>
        </w:pBdr>
        <w:spacing w:after="200" w:before="480"/>
      </w:pPr>
      <w:r>
        <w:rPr>
          <w:rFonts w:ascii="Arial" w:cs="Arial" w:eastAsia="Arial" w:hAnsi="Arial"/>
          <w:b/>
          <w:bCs/>
          <w:caps/>
          <w:color w:val="1E3A5F"/>
          <w:sz w:val="36"/>
          <w:szCs w:val="36"/>
        </w:rPr>
        <w:t xml:space="preserve">12.  Future Roadmap — V2.0 Enhancements</w:t>
      </w:r>
    </w:p>
    <w:p>
      <w:pPr>
        <w:pStyle w:val="ListParagraph"/>
        <w:numPr>
          <w:ilvl w:val="0"/>
          <w:numId w:val="1"/>
        </w:numPr>
        <w:spacing w:after="80"/>
        <w:jc w:val="both"/>
      </w:pPr>
      <w:r>
        <w:rPr>
          <w:rFonts w:ascii="Arial" w:cs="Arial" w:eastAsia="Arial" w:hAnsi="Arial"/>
          <w:sz w:val="22"/>
          <w:szCs w:val="22"/>
        </w:rPr>
        <w:t xml:space="preserve">Temporal Sequence Modelling: reformulate the problem as a per-user time series (consecutive daily snapshots fed to an LSTM, GRU, or Transformer encoder) to capture genuine mood trajectories rather than treating every user-day as independent — directly addressing the Section 11.2 sequential-modelling gap.</w:t>
      </w:r>
    </w:p>
    <w:p>
      <w:pPr>
        <w:pStyle w:val="ListParagraph"/>
        <w:numPr>
          <w:ilvl w:val="0"/>
          <w:numId w:val="1"/>
        </w:numPr>
        <w:spacing w:after="80"/>
        <w:jc w:val="both"/>
      </w:pPr>
      <w:r>
        <w:rPr>
          <w:rFonts w:ascii="Arial" w:cs="Arial" w:eastAsia="Arial" w:hAnsi="Arial"/>
          <w:sz w:val="22"/>
          <w:szCs w:val="22"/>
        </w:rPr>
        <w:t xml:space="preserve">Multimodal Fusion: incorporate the actual text of user posts/captions via NLP (transformer sentence embeddings) as an additional input stream, rather than relying solely on engagement counts as an indirect emotion proxy.</w:t>
      </w:r>
    </w:p>
    <w:p>
      <w:pPr>
        <w:pStyle w:val="ListParagraph"/>
        <w:numPr>
          <w:ilvl w:val="0"/>
          <w:numId w:val="1"/>
        </w:numPr>
        <w:spacing w:after="80"/>
        <w:jc w:val="both"/>
      </w:pPr>
      <w:r>
        <w:rPr>
          <w:rFonts w:ascii="Arial" w:cs="Arial" w:eastAsia="Arial" w:hAnsi="Arial"/>
          <w:sz w:val="22"/>
          <w:szCs w:val="22"/>
        </w:rPr>
        <w:t xml:space="preserve">Probability Calibration: apply Platt scaling, isotonic regression, or split conformal prediction to convert raw predict_proba() outputs into statistically calibrated confidence intervals with a formal (1−α) coverage guarantee.</w:t>
      </w:r>
    </w:p>
    <w:p>
      <w:pPr>
        <w:pStyle w:val="ListParagraph"/>
        <w:numPr>
          <w:ilvl w:val="0"/>
          <w:numId w:val="1"/>
        </w:numPr>
        <w:spacing w:after="80"/>
        <w:jc w:val="both"/>
      </w:pPr>
      <w:r>
        <w:rPr>
          <w:rFonts w:ascii="Arial" w:cs="Arial" w:eastAsia="Arial" w:hAnsi="Arial"/>
          <w:sz w:val="22"/>
          <w:szCs w:val="22"/>
        </w:rPr>
        <w:t xml:space="preserve">Fairness &amp; Bias Audit: systematic equalised-odds and demographic-parity testing of the champion's error rates across Gender and Age bands, plus an ablation comparing full-feature performance against a demographics-excluded baseline, directly operationalising the Section 11.3 fairness recommendation.</w:t>
      </w:r>
    </w:p>
    <w:p>
      <w:pPr>
        <w:pStyle w:val="ListParagraph"/>
        <w:numPr>
          <w:ilvl w:val="0"/>
          <w:numId w:val="1"/>
        </w:numPr>
        <w:spacing w:after="80"/>
        <w:jc w:val="both"/>
      </w:pPr>
      <w:r>
        <w:rPr>
          <w:rFonts w:ascii="Arial" w:cs="Arial" w:eastAsia="Arial" w:hAnsi="Arial"/>
          <w:sz w:val="22"/>
          <w:szCs w:val="22"/>
        </w:rPr>
        <w:t xml:space="preserve">Native Explainability for Non-Tree Champions: extend beyond the tree-model SHAP surrogate (Section 8.5 / 11.2) with DeepSHAP or Integrated Gradients for a Keras champion, and KernelExplainer for the Soft-Vote Ensemble, so the rendered explanation always matches the actually-deployed model exactly.</w:t>
      </w:r>
    </w:p>
    <w:p>
      <w:pPr>
        <w:pStyle w:val="ListParagraph"/>
        <w:numPr>
          <w:ilvl w:val="0"/>
          <w:numId w:val="1"/>
        </w:numPr>
        <w:spacing w:after="80"/>
        <w:jc w:val="both"/>
      </w:pPr>
      <w:r>
        <w:rPr>
          <w:rFonts w:ascii="Arial" w:cs="Arial" w:eastAsia="Arial" w:hAnsi="Arial"/>
          <w:sz w:val="22"/>
          <w:szCs w:val="22"/>
        </w:rPr>
        <w:t xml:space="preserve">Automated Retraining &amp; Drift Monitoring: a scheduled pipeline rerun (e.g., an Airflow DAG) that retrains all 8 candidates on newly collected data, compares challenger vs. incumbent champion on a held-out rolling window, and promotes the challenger only upon a statistically significant weighted-F1 improvement.</w:t>
      </w:r>
    </w:p>
    <w:p>
      <w:pPr>
        <w:pStyle w:val="ListParagraph"/>
        <w:numPr>
          <w:ilvl w:val="0"/>
          <w:numId w:val="1"/>
        </w:numPr>
        <w:spacing w:after="80"/>
        <w:jc w:val="both"/>
      </w:pPr>
      <w:r>
        <w:rPr>
          <w:rFonts w:ascii="Arial" w:cs="Arial" w:eastAsia="Arial" w:hAnsi="Arial"/>
          <w:sz w:val="22"/>
          <w:szCs w:val="22"/>
        </w:rPr>
        <w:t xml:space="preserve">REST Microservice: wrap ChampionModelWrapper in a FastAPI endpoint (POST /predict, JSON in/out) to decouple inference from the Streamlit UI and enable headless, programmatic integration.</w:t>
      </w:r>
    </w:p>
    <w:p>
      <w:pPr>
        <w:pStyle w:val="ListParagraph"/>
        <w:numPr>
          <w:ilvl w:val="0"/>
          <w:numId w:val="1"/>
        </w:numPr>
        <w:spacing w:after="80"/>
        <w:jc w:val="both"/>
      </w:pPr>
      <w:r>
        <w:rPr>
          <w:rFonts w:ascii="Arial" w:cs="Arial" w:eastAsia="Arial" w:hAnsi="Arial"/>
          <w:sz w:val="22"/>
          <w:szCs w:val="22"/>
        </w:rPr>
        <w:t xml:space="preserve">Non-Diagnostic Disclaimer &amp; Consent Layer: add an explicit, unavoidable disclaimer and lightweight usage-consent gate to the Predict and Batch tabs, directly implementing the Section 11.3 psychological-sensitivity recommendation.</w:t>
      </w:r>
    </w:p>
    <w:p>
      <w:pPr>
        <w:pStyle w:val="Heading1"/>
        <w:pBdr>
          <w:bottom w:val="single" w:color="2E75B6" w:sz="6" w:space="1"/>
        </w:pBdr>
        <w:spacing w:after="200" w:before="480"/>
      </w:pPr>
      <w:r>
        <w:rPr>
          <w:rFonts w:ascii="Arial" w:cs="Arial" w:eastAsia="Arial" w:hAnsi="Arial"/>
          <w:b/>
          <w:bCs/>
          <w:caps/>
          <w:color w:val="1E3A5F"/>
          <w:sz w:val="36"/>
          <w:szCs w:val="36"/>
        </w:rPr>
        <w:t xml:space="preserve">13.  References</w:t>
      </w:r>
    </w:p>
    <w:p>
      <w:pPr>
        <w:spacing w:after="120" w:before="0"/>
        <w:jc w:val="both"/>
      </w:pPr>
      <w:r>
        <w:rPr>
          <w:rFonts w:ascii="Arial" w:cs="Arial" w:eastAsia="Arial" w:hAnsi="Arial"/>
          <w:b w:val="false"/>
          <w:bCs w:val="false"/>
          <w:i w:val="false"/>
          <w:iCs w:val="false"/>
          <w:color w:val="000000"/>
          <w:sz w:val="22"/>
          <w:szCs w:val="22"/>
        </w:rPr>
        <w:t xml:space="preserve">All datasets, algorithms, and software frameworks referenced in this MDD are grounded in the sources below, formatted per APA 7th Edition.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
        <w:gridCol w:w="2400"/>
        <w:gridCol w:w="6310"/>
      </w:tblGrid>
      <w:tr>
        <w:trPr>
          <w:tblHeader/>
        </w:trPr>
        <w:tc>
          <w:tcPr>
            <w:tcW w:type="dxa" w:w="65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vAlign w:val="center"/>
          </w:tcPr>
          <w:p>
            <w:r>
              <w:rPr>
                <w:rFonts w:ascii="Arial" w:cs="Arial" w:eastAsia="Arial" w:hAnsi="Arial"/>
                <w:b/>
                <w:bCs/>
                <w:color w:val="1E3A5F"/>
                <w:sz w:val="20"/>
                <w:szCs w:val="20"/>
              </w:rPr>
              <w:t xml:space="preserve">Ref.</w:t>
            </w:r>
          </w:p>
        </w:tc>
        <w:tc>
          <w:tcPr>
            <w:tcW w:type="dxa" w:w="24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vAlign w:val="center"/>
          </w:tcPr>
          <w:p>
            <w:r>
              <w:rPr>
                <w:rFonts w:ascii="Arial" w:cs="Arial" w:eastAsia="Arial" w:hAnsi="Arial"/>
                <w:b/>
                <w:bCs/>
                <w:color w:val="1E3A5F"/>
                <w:sz w:val="20"/>
                <w:szCs w:val="20"/>
              </w:rPr>
              <w:t xml:space="preserve">Author(s) &amp; Year</w:t>
            </w:r>
          </w:p>
        </w:tc>
        <w:tc>
          <w:tcPr>
            <w:tcW w:type="dxa" w:w="631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vAlign w:val="center"/>
          </w:tcPr>
          <w:p>
            <w:r>
              <w:rPr>
                <w:rFonts w:ascii="Arial" w:cs="Arial" w:eastAsia="Arial" w:hAnsi="Arial"/>
                <w:b/>
                <w:bCs/>
                <w:color w:val="1E3A5F"/>
                <w:sz w:val="20"/>
                <w:szCs w:val="20"/>
              </w:rPr>
              <w:t xml:space="preserve">Title &amp; Source</w:t>
            </w:r>
          </w:p>
        </w:tc>
      </w:tr>
      <w:tr>
        <w:tc>
          <w:tcPr>
            <w:tcW w:type="dxa" w:w="65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[1]</w:t>
            </w:r>
          </w:p>
        </w:tc>
        <w:tc>
          <w:tcPr>
            <w:tcW w:type="dxa" w:w="2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Bulut, E. (2024).</w:t>
            </w:r>
          </w:p>
        </w:tc>
        <w:tc>
          <w:tcPr>
            <w:tcW w:type="dxa" w:w="631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Social Media Usage and Emotional Well-Being [Data set]. Kaggle. https://www.kaggle.com/datasets/emirhanai/social-media-usage-and-emotional-well-being</w:t>
            </w:r>
          </w:p>
        </w:tc>
      </w:tr>
      <w:tr>
        <w:tc>
          <w:tcPr>
            <w:tcW w:type="dxa" w:w="65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[2]</w:t>
            </w:r>
          </w:p>
        </w:tc>
        <w:tc>
          <w:tcPr>
            <w:tcW w:type="dxa" w:w="2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Breiman, L. (2001).</w:t>
            </w:r>
          </w:p>
        </w:tc>
        <w:tc>
          <w:tcPr>
            <w:tcW w:type="dxa" w:w="631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Random forests. Machine Learning, 45(1), 5–32.</w:t>
            </w:r>
          </w:p>
        </w:tc>
      </w:tr>
      <w:tr>
        <w:tc>
          <w:tcPr>
            <w:tcW w:type="dxa" w:w="65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[3]</w:t>
            </w:r>
          </w:p>
        </w:tc>
        <w:tc>
          <w:tcPr>
            <w:tcW w:type="dxa" w:w="2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Prokhorenkova, L., Gusev, G., Vorobev, A., Dorogush, A. V., &amp; Gulin, A. (2018).</w:t>
            </w:r>
          </w:p>
        </w:tc>
        <w:tc>
          <w:tcPr>
            <w:tcW w:type="dxa" w:w="631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CatBoost: unbiased boosting with categorical features. Advances in Neural Information Processing Systems (NeurIPS) 31.</w:t>
            </w:r>
          </w:p>
        </w:tc>
      </w:tr>
      <w:tr>
        <w:tc>
          <w:tcPr>
            <w:tcW w:type="dxa" w:w="65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[4]</w:t>
            </w:r>
          </w:p>
        </w:tc>
        <w:tc>
          <w:tcPr>
            <w:tcW w:type="dxa" w:w="2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Ke, G., Meng, Q., Finley, T., Wang, T., Chen, W., Ma, W., Ye, Q., &amp; Liu, T.-Y. (2017).</w:t>
            </w:r>
          </w:p>
        </w:tc>
        <w:tc>
          <w:tcPr>
            <w:tcW w:type="dxa" w:w="631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LightGBM: A highly efficient gradient boosting decision tree. Advances in Neural Information Processing Systems (NeurIPS) 30.</w:t>
            </w:r>
          </w:p>
        </w:tc>
      </w:tr>
      <w:tr>
        <w:tc>
          <w:tcPr>
            <w:tcW w:type="dxa" w:w="65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[5]</w:t>
            </w:r>
          </w:p>
        </w:tc>
        <w:tc>
          <w:tcPr>
            <w:tcW w:type="dxa" w:w="2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Chen, T., &amp; Guestrin, C. (2016).</w:t>
            </w:r>
          </w:p>
        </w:tc>
        <w:tc>
          <w:tcPr>
            <w:tcW w:type="dxa" w:w="631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XGBoost: A scalable tree boosting system. Proceedings of the 22nd ACM SIGKDD International Conference on Knowledge Discovery and Data Mining.</w:t>
            </w:r>
          </w:p>
        </w:tc>
      </w:tr>
      <w:tr>
        <w:tc>
          <w:tcPr>
            <w:tcW w:type="dxa" w:w="65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[6]</w:t>
            </w:r>
          </w:p>
        </w:tc>
        <w:tc>
          <w:tcPr>
            <w:tcW w:type="dxa" w:w="2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Lundberg, S. M., &amp; Lee, S.-I. (2017).</w:t>
            </w:r>
          </w:p>
        </w:tc>
        <w:tc>
          <w:tcPr>
            <w:tcW w:type="dxa" w:w="631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A unified approach to interpreting model predictions. Advances in Neural Information Processing Systems (NeurIPS) 30. (SHAP)</w:t>
            </w:r>
          </w:p>
        </w:tc>
      </w:tr>
      <w:tr>
        <w:tc>
          <w:tcPr>
            <w:tcW w:type="dxa" w:w="65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[7]</w:t>
            </w:r>
          </w:p>
        </w:tc>
        <w:tc>
          <w:tcPr>
            <w:tcW w:type="dxa" w:w="2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Ioffe, S., &amp; Szegedy, C. (2015).</w:t>
            </w:r>
          </w:p>
        </w:tc>
        <w:tc>
          <w:tcPr>
            <w:tcW w:type="dxa" w:w="631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Batch normalization: Accelerating deep network training by reducing internal covariate shift. Proceedings of the 32nd International Conference on Machine Learning (ICML).</w:t>
            </w:r>
          </w:p>
        </w:tc>
      </w:tr>
      <w:tr>
        <w:tc>
          <w:tcPr>
            <w:tcW w:type="dxa" w:w="65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[8]</w:t>
            </w:r>
          </w:p>
        </w:tc>
        <w:tc>
          <w:tcPr>
            <w:tcW w:type="dxa" w:w="2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Srivastava, N., Hinton, G., Krizhevsky, A., Sutskever, I., &amp; Salakhutdinov, R. (2014).</w:t>
            </w:r>
          </w:p>
        </w:tc>
        <w:tc>
          <w:tcPr>
            <w:tcW w:type="dxa" w:w="631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Dropout: A simple way to prevent neural networks from overfitting. Journal of Machine Learning Research, 15(1), 1929–1958.</w:t>
            </w:r>
          </w:p>
        </w:tc>
      </w:tr>
      <w:tr>
        <w:tc>
          <w:tcPr>
            <w:tcW w:type="dxa" w:w="65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[9]</w:t>
            </w:r>
          </w:p>
        </w:tc>
        <w:tc>
          <w:tcPr>
            <w:tcW w:type="dxa" w:w="2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Ramachandran, P., Zoph, B., &amp; Le, Q. V. (2017).</w:t>
            </w:r>
          </w:p>
        </w:tc>
        <w:tc>
          <w:tcPr>
            <w:tcW w:type="dxa" w:w="631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Searching for activation functions. arXiv:1710.05941. (Swish/SiLU)</w:t>
            </w:r>
          </w:p>
        </w:tc>
      </w:tr>
      <w:tr>
        <w:tc>
          <w:tcPr>
            <w:tcW w:type="dxa" w:w="65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[10]</w:t>
            </w:r>
          </w:p>
        </w:tc>
        <w:tc>
          <w:tcPr>
            <w:tcW w:type="dxa" w:w="2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Kingma, D. P., &amp; Ba, J. (2014).</w:t>
            </w:r>
          </w:p>
        </w:tc>
        <w:tc>
          <w:tcPr>
            <w:tcW w:type="dxa" w:w="631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Adam: A method for stochastic optimization. arXiv:1412.6980.</w:t>
            </w:r>
          </w:p>
        </w:tc>
      </w:tr>
      <w:tr>
        <w:tc>
          <w:tcPr>
            <w:tcW w:type="dxa" w:w="65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[11]</w:t>
            </w:r>
          </w:p>
        </w:tc>
        <w:tc>
          <w:tcPr>
            <w:tcW w:type="dxa" w:w="2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Pedregosa, F., et al. (2011).</w:t>
            </w:r>
          </w:p>
        </w:tc>
        <w:tc>
          <w:tcPr>
            <w:tcW w:type="dxa" w:w="631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Scikit-learn: Machine learning in Python. Journal of Machine Learning Research, 12, 2825–2830.</w:t>
            </w:r>
          </w:p>
        </w:tc>
      </w:tr>
      <w:tr>
        <w:tc>
          <w:tcPr>
            <w:tcW w:type="dxa" w:w="65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[12]</w:t>
            </w:r>
          </w:p>
        </w:tc>
        <w:tc>
          <w:tcPr>
            <w:tcW w:type="dxa" w:w="2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Abadi, M., et al. (2016).</w:t>
            </w:r>
          </w:p>
        </w:tc>
        <w:tc>
          <w:tcPr>
            <w:tcW w:type="dxa" w:w="631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TensorFlow: Large-scale machine learning on heterogeneous distributed systems. arXiv:1603.04467.</w:t>
            </w:r>
          </w:p>
        </w:tc>
      </w:tr>
      <w:tr>
        <w:tc>
          <w:tcPr>
            <w:tcW w:type="dxa" w:w="65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[13]</w:t>
            </w:r>
          </w:p>
        </w:tc>
        <w:tc>
          <w:tcPr>
            <w:tcW w:type="dxa" w:w="2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Russell, J. A. (1980).</w:t>
            </w:r>
          </w:p>
        </w:tc>
        <w:tc>
          <w:tcPr>
            <w:tcW w:type="dxa" w:w="631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A circumplex model of affect. Journal of Personality and Social Psychology, 39(6), 1161–1178.</w:t>
            </w:r>
          </w:p>
        </w:tc>
      </w:tr>
      <w:tr>
        <w:tc>
          <w:tcPr>
            <w:tcW w:type="dxa" w:w="65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[14]</w:t>
            </w:r>
          </w:p>
        </w:tc>
        <w:tc>
          <w:tcPr>
            <w:tcW w:type="dxa" w:w="2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Festinger, L. (1954).</w:t>
            </w:r>
          </w:p>
        </w:tc>
        <w:tc>
          <w:tcPr>
            <w:tcW w:type="dxa" w:w="631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A theory of social comparison processes. Human Relations, 7(2), 117–140.</w:t>
            </w:r>
          </w:p>
        </w:tc>
      </w:tr>
      <w:tr>
        <w:tc>
          <w:tcPr>
            <w:tcW w:type="dxa" w:w="65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[15]</w:t>
            </w:r>
          </w:p>
        </w:tc>
        <w:tc>
          <w:tcPr>
            <w:tcW w:type="dxa" w:w="2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Streamlit Inc. (2024).</w:t>
            </w:r>
          </w:p>
        </w:tc>
        <w:tc>
          <w:tcPr>
            <w:tcW w:type="dxa" w:w="631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Streamlit documentation. https://docs.streamlit.io/</w:t>
            </w:r>
          </w:p>
        </w:tc>
      </w:tr>
    </w:tbl>
    <w:p>
      <w:pPr>
        <w:spacing w:after="140"/>
      </w:pPr>
    </w:p>
    <w:p>
      <w:pPr>
        <w:pStyle w:val="Heading1"/>
        <w:pBdr>
          <w:bottom w:val="single" w:color="2E75B6" w:sz="6" w:space="1"/>
        </w:pBdr>
        <w:spacing w:after="200" w:before="480"/>
      </w:pPr>
      <w:r>
        <w:rPr>
          <w:rFonts w:ascii="Arial" w:cs="Arial" w:eastAsia="Arial" w:hAnsi="Arial"/>
          <w:b/>
          <w:bCs/>
          <w:caps/>
          <w:color w:val="1E3A5F"/>
          <w:sz w:val="36"/>
          <w:szCs w:val="36"/>
        </w:rPr>
        <w:t xml:space="preserve">14.  Glossary of Technical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vAlign w:val="center"/>
          </w:tcPr>
          <w:p>
            <w:r>
              <w:rPr>
                <w:rFonts w:ascii="Arial" w:cs="Arial" w:eastAsia="Arial" w:hAnsi="Arial"/>
                <w:b/>
                <w:bCs/>
                <w:color w:val="1E3A5F"/>
                <w:sz w:val="20"/>
                <w:szCs w:val="20"/>
              </w:rPr>
              <w:t xml:space="preserve">Term</w:t>
            </w:r>
          </w:p>
        </w:tc>
        <w:tc>
          <w:tcPr>
            <w:tcW w:type="dxa" w:w="7160"/>
            <w:tcBorders>
              <w:top w:val="single" w:color="CCCCCC" w:sz="4"/>
              <w:left w:val="single" w:color="CCCCCC" w:sz="4"/>
              <w:bottom w:val="single" w:color="CCCCCC" w:sz="4"/>
              <w:right w:val="single" w:color="CCCCCC" w:sz="4"/>
            </w:tcBorders>
            <w:shd w:fill="D5E8F0" w:color="auto" w:val="clear"/>
            <w:tcMar>
              <w:top w:type="dxa" w:w="80"/>
              <w:left w:type="dxa" w:w="120"/>
              <w:bottom w:type="dxa" w:w="80"/>
              <w:right w:type="dxa" w:w="120"/>
            </w:tcMar>
            <w:vAlign w:val="center"/>
          </w:tcPr>
          <w:p>
            <w:r>
              <w:rPr>
                <w:rFonts w:ascii="Arial" w:cs="Arial" w:eastAsia="Arial" w:hAnsi="Arial"/>
                <w:b/>
                <w:bCs/>
                <w:color w:val="1E3A5F"/>
                <w:sz w:val="20"/>
                <w:szCs w:val="20"/>
              </w:rPr>
              <w:t xml:space="preserve">Formal Definition</w:t>
            </w:r>
          </w:p>
        </w:tc>
      </w:tr>
      <w:tr>
        <w:tc>
          <w:tcPr>
            <w:tcW w:type="dxa" w:w="2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Accuracy</w:t>
            </w:r>
          </w:p>
        </w:tc>
        <w:tc>
          <w:tcPr>
            <w:tcW w:type="dxa" w:w="71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The fraction of predictions exactly matching the true label: (correct predictions) / (total predictions).</w:t>
            </w:r>
          </w:p>
        </w:tc>
      </w:tr>
      <w:tr>
        <w:tc>
          <w:tcPr>
            <w:tcW w:type="dxa" w:w="2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Batch Normalisation</w:t>
            </w:r>
          </w:p>
        </w:tc>
        <w:tc>
          <w:tcPr>
            <w:tcW w:type="dxa" w:w="71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A layer that normalises its inputs to zero mean / unit variance per mini-batch, then applies a learned affine scale/shift; accelerates and stabilises deep-network training.</w:t>
            </w:r>
          </w:p>
        </w:tc>
      </w:tr>
      <w:tr>
        <w:tc>
          <w:tcPr>
            <w:tcW w:type="dxa" w:w="2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CatBoost</w:t>
            </w:r>
          </w:p>
        </w:tc>
        <w:tc>
          <w:tcPr>
            <w:tcW w:type="dxa" w:w="71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A gradient-boosting library using ordered boosting and symmetric (oblivious) decision trees to reduce prediction shift and target leakage.</w:t>
            </w:r>
          </w:p>
        </w:tc>
      </w:tr>
      <w:tr>
        <w:tc>
          <w:tcPr>
            <w:tcW w:type="dxa" w:w="2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ChampionModelWrapper</w:t>
            </w:r>
          </w:p>
        </w:tc>
        <w:tc>
          <w:tcPr>
            <w:tcW w:type="dxa" w:w="71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This pipeline's unified inference class, exposing an identical .predict_proba()/.predict() contract regardless of whether the wrapped champion is a tree model, a soft-vote ensemble, or a Keras network (Section 9.1).</w:t>
            </w:r>
          </w:p>
        </w:tc>
      </w:tr>
      <w:tr>
        <w:tc>
          <w:tcPr>
            <w:tcW w:type="dxa" w:w="2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Class-Weight Balancing</w:t>
            </w:r>
          </w:p>
        </w:tc>
        <w:tc>
          <w:tcPr>
            <w:tcW w:type="dxa" w:w="71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Re-weighting each class's contribution to the training loss inversely proportional to its frequency, so a classifier cannot trivially maximise accuracy by always predicting the majority class.</w:t>
            </w:r>
          </w:p>
        </w:tc>
      </w:tr>
      <w:tr>
        <w:tc>
          <w:tcPr>
            <w:tcW w:type="dxa" w:w="2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Confusion Matrix</w:t>
            </w:r>
          </w:p>
        </w:tc>
        <w:tc>
          <w:tcPr>
            <w:tcW w:type="dxa" w:w="71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A K×K matrix whose (i, j) entry counts test examples with true class i predicted as class j; the diagonal holds correct predictions.</w:t>
            </w:r>
          </w:p>
        </w:tc>
      </w:tr>
      <w:tr>
        <w:tc>
          <w:tcPr>
            <w:tcW w:type="dxa" w:w="2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Dropout</w:t>
            </w:r>
          </w:p>
        </w:tc>
        <w:tc>
          <w:tcPr>
            <w:tcW w:type="dxa" w:w="71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A regularisation technique that randomly zeroes a fraction of a layer's activations during each training step, discouraging co-adaptation between neurons.</w:t>
            </w:r>
          </w:p>
        </w:tc>
      </w:tr>
      <w:tr>
        <w:tc>
          <w:tcPr>
            <w:tcW w:type="dxa" w:w="2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EarlyStopping</w:t>
            </w:r>
          </w:p>
        </w:tc>
        <w:tc>
          <w:tcPr>
            <w:tcW w:type="dxa" w:w="71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A training callback that halts optimisation once a monitored metric (e.g., validation loss) stops improving for a set number of epochs, optionally restoring the best-observed weights.</w:t>
            </w:r>
          </w:p>
        </w:tc>
      </w:tr>
      <w:tr>
        <w:tc>
          <w:tcPr>
            <w:tcW w:type="dxa" w:w="2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Ensemble (Soft-Vote)</w:t>
            </w:r>
          </w:p>
        </w:tc>
        <w:tc>
          <w:tcPr>
            <w:tcW w:type="dxa" w:w="71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A meta-model that averages the class-probability outputs of several constituent models and predicts the arg-max of the averaged vector.</w:t>
            </w:r>
          </w:p>
        </w:tc>
      </w:tr>
      <w:tr>
        <w:tc>
          <w:tcPr>
            <w:tcW w:type="dxa" w:w="2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F1-Score (Weighted / Macro)</w:t>
            </w:r>
          </w:p>
        </w:tc>
        <w:tc>
          <w:tcPr>
            <w:tcW w:type="dxa" w:w="71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The harmonic mean of precision and recall, either averaged per class with weights proportional to class support (weighted) or with equal weight per class regardless of frequency (macro).</w:t>
            </w:r>
          </w:p>
        </w:tc>
      </w:tr>
      <w:tr>
        <w:tc>
          <w:tcPr>
            <w:tcW w:type="dxa" w:w="2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Gradient Boosting</w:t>
            </w:r>
          </w:p>
        </w:tc>
        <w:tc>
          <w:tcPr>
            <w:tcW w:type="dxa" w:w="71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An ensemble technique that fits a sequence of weak learners (typically shallow trees), each trained to correct the residual error of the ensemble built so far.</w:t>
            </w:r>
          </w:p>
        </w:tc>
      </w:tr>
      <w:tr>
        <w:tc>
          <w:tcPr>
            <w:tcW w:type="dxa" w:w="2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LabelEncoder</w:t>
            </w:r>
          </w:p>
        </w:tc>
        <w:tc>
          <w:tcPr>
            <w:tcW w:type="dxa" w:w="71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A scikit-learn transformer that maps a categorical target's string values to integer codes (and back), required by loss functions such as sparse_categorical_crossentropy.</w:t>
            </w:r>
          </w:p>
        </w:tc>
      </w:tr>
      <w:tr>
        <w:tc>
          <w:tcPr>
            <w:tcW w:type="dxa" w:w="2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LightGBM</w:t>
            </w:r>
          </w:p>
        </w:tc>
        <w:tc>
          <w:tcPr>
            <w:tcW w:type="dxa" w:w="71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A gradient-boosting library using leaf-wise (best-first) tree growth and Gradient-based One-Side Sampling for speed on large tabular datasets.</w:t>
            </w:r>
          </w:p>
        </w:tc>
      </w:tr>
      <w:tr>
        <w:tc>
          <w:tcPr>
            <w:tcW w:type="dxa" w:w="2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Logistic Regression (Multinomial)</w:t>
            </w:r>
          </w:p>
        </w:tc>
        <w:tc>
          <w:tcPr>
            <w:tcW w:type="dxa" w:w="71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A linear classifier that models class probability via the softmax function applied to a linear combination of the input features; the multinomial variant directly optimises all K classes jointly.</w:t>
            </w:r>
          </w:p>
        </w:tc>
      </w:tr>
      <w:tr>
        <w:tc>
          <w:tcPr>
            <w:tcW w:type="dxa" w:w="2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MLP (Multilayer Perceptron)</w:t>
            </w:r>
          </w:p>
        </w:tc>
        <w:tc>
          <w:tcPr>
            <w:tcW w:type="dxa" w:w="71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A feedforward neural network composed of one or more fully-connected hidden layers between input and output.</w:t>
            </w:r>
          </w:p>
        </w:tc>
      </w:tr>
      <w:tr>
        <w:tc>
          <w:tcPr>
            <w:tcW w:type="dxa" w:w="2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Multicollinearity</w:t>
            </w:r>
          </w:p>
        </w:tc>
        <w:tc>
          <w:tcPr>
            <w:tcW w:type="dxa" w:w="71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A condition in which two or more predictors are highly linearly correlated, inflating variance in linear-model coefficients and diluting tree-based feature-importance attribution.</w:t>
            </w:r>
          </w:p>
        </w:tc>
      </w:tr>
      <w:tr>
        <w:tc>
          <w:tcPr>
            <w:tcW w:type="dxa" w:w="2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One-Hot Encoding</w:t>
            </w:r>
          </w:p>
        </w:tc>
        <w:tc>
          <w:tcPr>
            <w:tcW w:type="dxa" w:w="71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Representing a categorical variable with k levels as k binary indicator columns, exactly one of which is 1 for any given row.</w:t>
            </w:r>
          </w:p>
        </w:tc>
      </w:tr>
      <w:tr>
        <w:tc>
          <w:tcPr>
            <w:tcW w:type="dxa" w:w="2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PCA (Principal Component Analysis)</w:t>
            </w:r>
          </w:p>
        </w:tc>
        <w:tc>
          <w:tcPr>
            <w:tcW w:type="dxa" w:w="71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An unsupervised linear dimensionality-reduction technique that projects data onto the orthogonal directions of maximum variance.</w:t>
            </w:r>
          </w:p>
        </w:tc>
      </w:tr>
      <w:tr>
        <w:tc>
          <w:tcPr>
            <w:tcW w:type="dxa" w:w="2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Precision</w:t>
            </w:r>
          </w:p>
        </w:tc>
        <w:tc>
          <w:tcPr>
            <w:tcW w:type="dxa" w:w="71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Of all instances predicted positive for a class, the fraction that are truly that class: TP / (TP + FP).</w:t>
            </w:r>
          </w:p>
        </w:tc>
      </w:tr>
      <w:tr>
        <w:tc>
          <w:tcPr>
            <w:tcW w:type="dxa" w:w="2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Recall</w:t>
            </w:r>
          </w:p>
        </w:tc>
        <w:tc>
          <w:tcPr>
            <w:tcW w:type="dxa" w:w="71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Of all instances truly belonging to a class, the fraction the model correctly identifies: TP / (TP + FN).</w:t>
            </w:r>
          </w:p>
        </w:tc>
      </w:tr>
      <w:tr>
        <w:tc>
          <w:tcPr>
            <w:tcW w:type="dxa" w:w="2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ReduceLROnPlateau</w:t>
            </w:r>
          </w:p>
        </w:tc>
        <w:tc>
          <w:tcPr>
            <w:tcW w:type="dxa" w:w="71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A training callback that multiplicatively reduces the learning rate once a monitored metric plateaus for a set number of epochs.</w:t>
            </w:r>
          </w:p>
        </w:tc>
      </w:tr>
      <w:tr>
        <w:tc>
          <w:tcPr>
            <w:tcW w:type="dxa" w:w="2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Random Forest</w:t>
            </w:r>
          </w:p>
        </w:tc>
        <w:tc>
          <w:tcPr>
            <w:tcW w:type="dxa" w:w="71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A bagged ensemble of decision trees, each trained on a bootstrap-resampled data subset with a randomised feature subset per split, aggregated by majority vote.</w:t>
            </w:r>
          </w:p>
        </w:tc>
      </w:tr>
      <w:tr>
        <w:tc>
          <w:tcPr>
            <w:tcW w:type="dxa" w:w="2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RandomizedSearchCV</w:t>
            </w:r>
          </w:p>
        </w:tc>
        <w:tc>
          <w:tcPr>
            <w:tcW w:type="dxa" w:w="71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A hyperparameter-search strategy that samples a fixed number of random configurations from a specified grid and evaluates each via cross-validation, trading exhaustive coverage for computational efficiency versus a full grid search.</w:t>
            </w:r>
          </w:p>
        </w:tc>
      </w:tr>
      <w:tr>
        <w:tc>
          <w:tcPr>
            <w:tcW w:type="dxa" w:w="2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ROC-AUC / PR-AUC</w:t>
            </w:r>
          </w:p>
        </w:tc>
        <w:tc>
          <w:tcPr>
            <w:tcW w:type="dxa" w:w="71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Area under the Receiver Operating Characteristic curve (true-positive rate vs. false-positive rate) or the Precision-Recall curve, each summarising a binary (or One-vs-Rest) classifier's discrimination quality across all thresholds.</w:t>
            </w:r>
          </w:p>
        </w:tc>
      </w:tr>
      <w:tr>
        <w:tc>
          <w:tcPr>
            <w:tcW w:type="dxa" w:w="2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SHAP / TreeExplainer</w:t>
            </w:r>
          </w:p>
        </w:tc>
        <w:tc>
          <w:tcPr>
            <w:tcW w:type="dxa" w:w="71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SHapley Additive exPlanations: a game-theoretic framework attributing a model's prediction to individual input features; TreeExplainer is an efficient, exact implementation for tree-structured models.</w:t>
            </w:r>
          </w:p>
        </w:tc>
      </w:tr>
      <w:tr>
        <w:tc>
          <w:tcPr>
            <w:tcW w:type="dxa" w:w="2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StandardScaler</w:t>
            </w:r>
          </w:p>
        </w:tc>
        <w:tc>
          <w:tcPr>
            <w:tcW w:type="dxa" w:w="71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A transform that rescales each feature to zero mean and unit variance: X_scaled = (X − μ) / σ, with μ and σ estimated from the training data only to avoid leakage.</w:t>
            </w:r>
          </w:p>
        </w:tc>
      </w:tr>
      <w:tr>
        <w:tc>
          <w:tcPr>
            <w:tcW w:type="dxa" w:w="2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Swish / SiLU Activation</w:t>
            </w:r>
          </w:p>
        </w:tc>
        <w:tc>
          <w:tcPr>
            <w:tcW w:type="dxa" w:w="71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The smooth, non-monotonic activation function f(x) = x·σ(x), shown empirically to outperform ReLU in some deep architectures by avoiding the “dying neuron” failure mode.</w:t>
            </w:r>
          </w:p>
        </w:tc>
      </w:tr>
      <w:tr>
        <w:tc>
          <w:tcPr>
            <w:tcW w:type="dxa" w:w="2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XGBoost</w:t>
            </w:r>
          </w:p>
        </w:tc>
        <w:tc>
          <w:tcPr>
            <w:tcW w:type="dxa" w:w="71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40"/>
            </w:pPr>
            <w:r>
              <w:rPr>
                <w:rFonts w:ascii="Arial" w:cs="Arial" w:eastAsia="Arial" w:hAnsi="Arial"/>
                <w:sz w:val="20"/>
                <w:szCs w:val="20"/>
              </w:rPr>
              <w:t xml:space="preserve">A regularised gradient-boosting library using level-wise (depth-wise) tree growth with explicit L1/L2 penalties on leaf weights.</w:t>
            </w:r>
          </w:p>
        </w:tc>
      </w:tr>
    </w:tbl>
    <w:p>
      <w:pPr>
        <w:spacing w:after="14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80"/>
    </w:pPr>
    <w:r>
      <w:rPr>
        <w:rFonts w:ascii="Arial" w:cs="Arial" w:eastAsia="Arial" w:hAnsi="Arial"/>
        <w:color w:val="595959"/>
        <w:sz w:val="18"/>
        <w:szCs w:val="18"/>
      </w:rPr>
      <w:t xml:space="preserve">CONFIDENTIAL — FOR ACADEMIC REVIEW ONLY     Page </w:t>
    </w:r>
    <w:r>
      <w:rPr>
        <w:rFonts w:ascii="Arial" w:cs="Arial" w:eastAsia="Arial" w:hAnsi="Arial"/>
        <w:color w:val="2E75B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360"/>
      </w:tabs>
      <w:spacing w:after="80"/>
    </w:pPr>
    <w:r>
      <w:rPr>
        <w:rFonts w:ascii="Arial" w:cs="Arial" w:eastAsia="Arial" w:hAnsi="Arial"/>
        <w:i/>
        <w:iCs/>
        <w:color w:val="2E75B6"/>
        <w:sz w:val="18"/>
        <w:szCs w:val="18"/>
      </w:rPr>
      <w:t xml:space="preserve">Model Development Document — NeuroSense: Social Media Emotional Well-Being Classification</w:t>
    </w:r>
    <w:r>
      <w:rPr>
        <w:rFonts w:ascii="Arial" w:cs="Arial" w:eastAsia="Arial" w:hAnsi="Arial"/>
        <w:sz w:val="18"/>
        <w:szCs w:val="18"/>
      </w:rPr>
      <w:t xml:space="preserve">	</w:t>
    </w:r>
    <w:r>
      <w:rPr>
        <w:rFonts w:ascii="Arial" w:cs="Arial" w:eastAsia="Arial" w:hAnsi="Arial"/>
        <w:color w:val="595959"/>
        <w:sz w:val="18"/>
        <w:szCs w:val="18"/>
      </w:rPr>
      <w:t xml:space="preserve">Ashutosh Kaleron | E&amp;ICT Academy, IIT Guwahati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2026-07-30T15:30:05.300Z</dcterms:created>
  <dcterms:modified xsi:type="dcterms:W3CDTF">2026-07-30T15:30:05.300Z</dcterms:modified>
</cp:coreProperties>
</file>

<file path=docProps/custom.xml><?xml version="1.0" encoding="utf-8"?>
<Properties xmlns="http://schemas.openxmlformats.org/officeDocument/2006/custom-properties" xmlns:vt="http://schemas.openxmlformats.org/officeDocument/2006/docPropsVTypes"/>
</file>