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7B162" w14:textId="77777777" w:rsidR="00541FE8" w:rsidRPr="00541FE8" w:rsidRDefault="00541FE8" w:rsidP="00541FE8">
      <w:pPr>
        <w:shd w:val="clear" w:color="auto" w:fill="FFFFFF"/>
        <w:spacing w:after="120" w:line="240" w:lineRule="auto"/>
        <w:rPr>
          <w:rFonts w:ascii="Arial" w:eastAsia="Times New Roman" w:hAnsi="Arial" w:cs="Arial"/>
          <w:b/>
          <w:bCs/>
          <w:color w:val="555555"/>
          <w:sz w:val="21"/>
          <w:szCs w:val="21"/>
          <w:lang w:val="en-US"/>
        </w:rPr>
      </w:pPr>
      <w:r w:rsidRPr="00541FE8">
        <w:rPr>
          <w:rFonts w:ascii="Arial" w:eastAsia="Times New Roman" w:hAnsi="Arial" w:cs="Arial"/>
          <w:b/>
          <w:bCs/>
          <w:color w:val="555555"/>
          <w:sz w:val="21"/>
          <w:szCs w:val="21"/>
          <w:lang w:val="en-US"/>
        </w:rPr>
        <w:br/>
        <w:t>1. Critical validation rules verify the integrity of the initial measurement data (IMD). If an implementation needs to add new critical validations, where would you configure them?</w:t>
      </w:r>
    </w:p>
    <w:p w14:paraId="03DCE0EF" w14:textId="77777777" w:rsidR="00541FE8" w:rsidRPr="00541FE8" w:rsidRDefault="00541FE8" w:rsidP="00541FE8">
      <w:pPr>
        <w:numPr>
          <w:ilvl w:val="0"/>
          <w:numId w:val="1"/>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as new lifecycle algorithms on the IMD Seeder BO (D1-IMDSeeder)</w:t>
      </w:r>
    </w:p>
    <w:p w14:paraId="4BADEC9E" w14:textId="77777777" w:rsidR="00541FE8" w:rsidRPr="00541FE8" w:rsidRDefault="00541FE8" w:rsidP="00541FE8">
      <w:pPr>
        <w:numPr>
          <w:ilvl w:val="0"/>
          <w:numId w:val="1"/>
        </w:numPr>
        <w:shd w:val="clear" w:color="auto" w:fill="FFFFFF"/>
        <w:spacing w:after="0"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in the pre-processing algorithm of the IMD Seeder BO (Dl-</w:t>
      </w:r>
      <w:proofErr w:type="spellStart"/>
      <w:proofErr w:type="gramStart"/>
      <w:r w:rsidRPr="00541FE8">
        <w:rPr>
          <w:rFonts w:ascii="Arial" w:eastAsia="Times New Roman" w:hAnsi="Arial" w:cs="Arial"/>
          <w:b/>
          <w:bCs/>
          <w:color w:val="0000FF"/>
          <w:sz w:val="21"/>
          <w:szCs w:val="21"/>
          <w:lang w:val="en-US"/>
        </w:rPr>
        <w:t>IMDSeeder</w:t>
      </w:r>
      <w:proofErr w:type="spellEnd"/>
      <w:r w:rsidRPr="00541FE8">
        <w:rPr>
          <w:rFonts w:ascii="Arial" w:eastAsia="Times New Roman" w:hAnsi="Arial" w:cs="Arial"/>
          <w:b/>
          <w:bCs/>
          <w:color w:val="0000FF"/>
          <w:sz w:val="21"/>
          <w:szCs w:val="21"/>
          <w:lang w:val="en-US"/>
        </w:rPr>
        <w:t>)</w:t>
      </w:r>
      <w:r w:rsidRPr="00541FE8">
        <w:rPr>
          <w:rFonts w:ascii="Arial" w:eastAsia="Times New Roman" w:hAnsi="Arial" w:cs="Arial"/>
          <w:color w:val="0000FF"/>
          <w:sz w:val="21"/>
          <w:szCs w:val="21"/>
          <w:bdr w:val="none" w:sz="0" w:space="0" w:color="auto" w:frame="1"/>
          <w:lang w:val="en-US"/>
        </w:rPr>
        <w:t>correct</w:t>
      </w:r>
      <w:proofErr w:type="gramEnd"/>
    </w:p>
    <w:p w14:paraId="6A5B4149" w14:textId="77777777" w:rsidR="00541FE8" w:rsidRPr="00541FE8" w:rsidRDefault="00541FE8" w:rsidP="00541FE8">
      <w:pPr>
        <w:numPr>
          <w:ilvl w:val="0"/>
          <w:numId w:val="1"/>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as options on the IMD Seeder BO (D1-IMDSeeder)</w:t>
      </w:r>
    </w:p>
    <w:p w14:paraId="49E49032" w14:textId="77777777" w:rsidR="00541FE8" w:rsidRPr="00541FE8" w:rsidRDefault="00541FE8" w:rsidP="00541FE8">
      <w:pPr>
        <w:numPr>
          <w:ilvl w:val="0"/>
          <w:numId w:val="1"/>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in the schema of the IMD Seeder BO (D1-IMDSeeder)</w:t>
      </w:r>
    </w:p>
    <w:p w14:paraId="607C9F9C" w14:textId="77777777" w:rsidR="00541FE8" w:rsidRPr="00541FE8" w:rsidRDefault="00541FE8" w:rsidP="00541FE8">
      <w:pPr>
        <w:numPr>
          <w:ilvl w:val="0"/>
          <w:numId w:val="1"/>
        </w:numPr>
        <w:shd w:val="clear" w:color="auto" w:fill="FFFFFF"/>
        <w:spacing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in the validation algorithm on the IMD Seeder BO (D1-IMDSeeder)</w:t>
      </w:r>
    </w:p>
    <w:p w14:paraId="28040E85" w14:textId="3471CA58" w:rsidR="00541FE8" w:rsidRPr="00541FE8" w:rsidRDefault="00541FE8" w:rsidP="00541FE8">
      <w:pPr>
        <w:shd w:val="clear" w:color="auto" w:fill="FFFFFF"/>
        <w:spacing w:after="120" w:line="240" w:lineRule="auto"/>
        <w:rPr>
          <w:rFonts w:ascii="Arial" w:eastAsia="Times New Roman" w:hAnsi="Arial" w:cs="Arial"/>
          <w:b/>
          <w:bCs/>
          <w:color w:val="555555"/>
          <w:sz w:val="21"/>
          <w:szCs w:val="21"/>
          <w:lang w:val="en-US"/>
        </w:rPr>
      </w:pPr>
      <w:r w:rsidRPr="00541FE8">
        <w:rPr>
          <w:rFonts w:ascii="Arial" w:eastAsia="Times New Roman" w:hAnsi="Arial" w:cs="Arial"/>
          <w:b/>
          <w:bCs/>
          <w:color w:val="555555"/>
          <w:sz w:val="21"/>
          <w:szCs w:val="21"/>
          <w:lang w:val="en-US"/>
        </w:rPr>
        <w:t xml:space="preserve">2. Which three statements </w:t>
      </w:r>
      <w:r w:rsidR="00BA3043" w:rsidRPr="00541FE8">
        <w:rPr>
          <w:rFonts w:ascii="Arial" w:eastAsia="Times New Roman" w:hAnsi="Arial" w:cs="Arial"/>
          <w:b/>
          <w:bCs/>
          <w:color w:val="555555"/>
          <w:sz w:val="21"/>
          <w:szCs w:val="21"/>
          <w:lang w:val="en-US"/>
        </w:rPr>
        <w:t xml:space="preserve">usage subscriptions true </w:t>
      </w:r>
      <w:r w:rsidRPr="00541FE8">
        <w:rPr>
          <w:rFonts w:ascii="Arial" w:eastAsia="Times New Roman" w:hAnsi="Arial" w:cs="Arial"/>
          <w:b/>
          <w:bCs/>
          <w:color w:val="555555"/>
          <w:sz w:val="21"/>
          <w:szCs w:val="21"/>
          <w:lang w:val="en-US"/>
        </w:rPr>
        <w:t xml:space="preserve">are </w:t>
      </w:r>
      <w:r w:rsidR="00BA3043" w:rsidRPr="00541FE8">
        <w:rPr>
          <w:rFonts w:ascii="Arial" w:eastAsia="Times New Roman" w:hAnsi="Arial" w:cs="Arial"/>
          <w:b/>
          <w:bCs/>
          <w:color w:val="555555"/>
          <w:sz w:val="21"/>
          <w:szCs w:val="21"/>
          <w:lang w:val="en-US"/>
        </w:rPr>
        <w:t>about</w:t>
      </w:r>
      <w:r w:rsidRPr="00541FE8">
        <w:rPr>
          <w:rFonts w:ascii="Arial" w:eastAsia="Times New Roman" w:hAnsi="Arial" w:cs="Arial"/>
          <w:b/>
          <w:bCs/>
          <w:color w:val="555555"/>
          <w:sz w:val="21"/>
          <w:szCs w:val="21"/>
          <w:lang w:val="en-US"/>
        </w:rPr>
        <w:t>? (Choose three.)</w:t>
      </w:r>
    </w:p>
    <w:p w14:paraId="3EADDEE8" w14:textId="77777777" w:rsidR="00541FE8" w:rsidRPr="00541FE8" w:rsidRDefault="00541FE8" w:rsidP="00541FE8">
      <w:pPr>
        <w:numPr>
          <w:ilvl w:val="0"/>
          <w:numId w:val="2"/>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 xml:space="preserve">A usage subscription can have either parent or child service </w:t>
      </w:r>
      <w:proofErr w:type="spellStart"/>
      <w:proofErr w:type="gramStart"/>
      <w:r w:rsidRPr="00541FE8">
        <w:rPr>
          <w:rFonts w:ascii="Arial" w:eastAsia="Times New Roman" w:hAnsi="Arial" w:cs="Arial"/>
          <w:color w:val="555555"/>
          <w:sz w:val="21"/>
          <w:szCs w:val="21"/>
          <w:lang w:val="en-US"/>
        </w:rPr>
        <w:t>points.</w:t>
      </w:r>
      <w:r w:rsidRPr="00541FE8">
        <w:rPr>
          <w:rFonts w:ascii="Arial" w:eastAsia="Times New Roman" w:hAnsi="Arial" w:cs="Arial"/>
          <w:color w:val="555555"/>
          <w:sz w:val="21"/>
          <w:szCs w:val="21"/>
          <w:bdr w:val="none" w:sz="0" w:space="0" w:color="auto" w:frame="1"/>
          <w:lang w:val="en-US"/>
        </w:rPr>
        <w:t>correct</w:t>
      </w:r>
      <w:proofErr w:type="spellEnd"/>
      <w:proofErr w:type="gramEnd"/>
    </w:p>
    <w:p w14:paraId="2F4D34E9" w14:textId="77777777" w:rsidR="00541FE8" w:rsidRPr="00541FE8" w:rsidRDefault="00541FE8" w:rsidP="00541FE8">
      <w:pPr>
        <w:numPr>
          <w:ilvl w:val="0"/>
          <w:numId w:val="2"/>
        </w:numPr>
        <w:shd w:val="clear" w:color="auto" w:fill="FFFFFF"/>
        <w:spacing w:after="0"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 xml:space="preserve">A usage subscription can be configured to include only a portion of a service point </w:t>
      </w:r>
      <w:proofErr w:type="spellStart"/>
      <w:proofErr w:type="gramStart"/>
      <w:r w:rsidRPr="00541FE8">
        <w:rPr>
          <w:rFonts w:ascii="Arial" w:eastAsia="Times New Roman" w:hAnsi="Arial" w:cs="Arial"/>
          <w:b/>
          <w:bCs/>
          <w:color w:val="0000FF"/>
          <w:sz w:val="21"/>
          <w:szCs w:val="21"/>
          <w:lang w:val="en-US"/>
        </w:rPr>
        <w:t>usage.</w:t>
      </w:r>
      <w:r w:rsidRPr="00541FE8">
        <w:rPr>
          <w:rFonts w:ascii="Arial" w:eastAsia="Times New Roman" w:hAnsi="Arial" w:cs="Arial"/>
          <w:color w:val="0000FF"/>
          <w:sz w:val="21"/>
          <w:szCs w:val="21"/>
          <w:bdr w:val="none" w:sz="0" w:space="0" w:color="auto" w:frame="1"/>
          <w:lang w:val="en-US"/>
        </w:rPr>
        <w:t>wrong</w:t>
      </w:r>
      <w:proofErr w:type="spellEnd"/>
      <w:proofErr w:type="gramEnd"/>
    </w:p>
    <w:p w14:paraId="3FF3A530" w14:textId="77777777" w:rsidR="00541FE8" w:rsidRPr="00541FE8" w:rsidRDefault="00541FE8" w:rsidP="00541FE8">
      <w:pPr>
        <w:numPr>
          <w:ilvl w:val="0"/>
          <w:numId w:val="2"/>
        </w:numPr>
        <w:shd w:val="clear" w:color="auto" w:fill="FFFFFF"/>
        <w:spacing w:after="0"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 xml:space="preserve">A usage subscription can have many service </w:t>
      </w:r>
      <w:proofErr w:type="spellStart"/>
      <w:proofErr w:type="gramStart"/>
      <w:r w:rsidRPr="00541FE8">
        <w:rPr>
          <w:rFonts w:ascii="Arial" w:eastAsia="Times New Roman" w:hAnsi="Arial" w:cs="Arial"/>
          <w:b/>
          <w:bCs/>
          <w:color w:val="0000FF"/>
          <w:sz w:val="21"/>
          <w:szCs w:val="21"/>
          <w:lang w:val="en-US"/>
        </w:rPr>
        <w:t>points.</w:t>
      </w:r>
      <w:r w:rsidRPr="00541FE8">
        <w:rPr>
          <w:rFonts w:ascii="Arial" w:eastAsia="Times New Roman" w:hAnsi="Arial" w:cs="Arial"/>
          <w:color w:val="0000FF"/>
          <w:sz w:val="21"/>
          <w:szCs w:val="21"/>
          <w:bdr w:val="none" w:sz="0" w:space="0" w:color="auto" w:frame="1"/>
          <w:lang w:val="en-US"/>
        </w:rPr>
        <w:t>correct</w:t>
      </w:r>
      <w:proofErr w:type="spellEnd"/>
      <w:proofErr w:type="gramEnd"/>
    </w:p>
    <w:p w14:paraId="0114F46A" w14:textId="6E680333" w:rsidR="00541FE8" w:rsidRPr="00541FE8" w:rsidRDefault="00541FE8" w:rsidP="00541FE8">
      <w:pPr>
        <w:numPr>
          <w:ilvl w:val="0"/>
          <w:numId w:val="2"/>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Usage subscriptions are always related to an account.</w:t>
      </w:r>
      <w:r w:rsidR="00F95A36">
        <w:rPr>
          <w:rFonts w:ascii="Arial" w:eastAsia="Times New Roman" w:hAnsi="Arial" w:cs="Arial"/>
          <w:color w:val="555555"/>
          <w:sz w:val="21"/>
          <w:szCs w:val="21"/>
          <w:lang w:val="en-US"/>
        </w:rPr>
        <w:t xml:space="preserve"> Correct</w:t>
      </w:r>
    </w:p>
    <w:p w14:paraId="3052F6E8" w14:textId="5D6AEE19" w:rsidR="00414CF9" w:rsidRPr="00414CF9" w:rsidRDefault="00541FE8" w:rsidP="00414CF9">
      <w:pPr>
        <w:numPr>
          <w:ilvl w:val="0"/>
          <w:numId w:val="2"/>
        </w:numPr>
        <w:shd w:val="clear" w:color="auto" w:fill="FFFFFF"/>
        <w:spacing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A usage subscription can have only one service point.</w:t>
      </w:r>
    </w:p>
    <w:p w14:paraId="0EA69D1B" w14:textId="77777777" w:rsidR="00541FE8" w:rsidRPr="00541FE8" w:rsidRDefault="00541FE8" w:rsidP="00541FE8">
      <w:pPr>
        <w:shd w:val="clear" w:color="auto" w:fill="FFFFFF"/>
        <w:spacing w:after="0" w:line="240" w:lineRule="auto"/>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Explanation:</w:t>
      </w:r>
    </w:p>
    <w:p w14:paraId="28E5C733" w14:textId="77777777" w:rsidR="00541FE8" w:rsidRPr="00541FE8" w:rsidRDefault="00541FE8" w:rsidP="00541FE8">
      <w:pPr>
        <w:shd w:val="clear" w:color="auto" w:fill="FFFFFF"/>
        <w:spacing w:after="300" w:line="240" w:lineRule="auto"/>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Reference: https://docs.oracle.com/cd/E38983_04/PDF/MDM_Configuration_Guide_v2_1_0_3.pdf (227)</w:t>
      </w:r>
    </w:p>
    <w:p w14:paraId="1217BC12" w14:textId="77777777" w:rsidR="00541FE8" w:rsidRPr="00541FE8" w:rsidRDefault="00541FE8" w:rsidP="00541FE8">
      <w:pPr>
        <w:shd w:val="clear" w:color="auto" w:fill="FFFFFF"/>
        <w:spacing w:after="120" w:line="240" w:lineRule="auto"/>
        <w:rPr>
          <w:rFonts w:ascii="Arial" w:eastAsia="Times New Roman" w:hAnsi="Arial" w:cs="Arial"/>
          <w:b/>
          <w:bCs/>
          <w:color w:val="555555"/>
          <w:sz w:val="21"/>
          <w:szCs w:val="21"/>
          <w:lang w:val="en-US"/>
        </w:rPr>
      </w:pPr>
      <w:r w:rsidRPr="00541FE8">
        <w:rPr>
          <w:rFonts w:ascii="Arial" w:eastAsia="Times New Roman" w:hAnsi="Arial" w:cs="Arial"/>
          <w:b/>
          <w:bCs/>
          <w:color w:val="555555"/>
          <w:sz w:val="21"/>
          <w:szCs w:val="21"/>
          <w:lang w:val="en-US"/>
        </w:rPr>
        <w:t>3. On which three entities can proration be disabled? (Choose three.)</w:t>
      </w:r>
    </w:p>
    <w:p w14:paraId="3396B3C7" w14:textId="4A3629D3" w:rsidR="00541FE8" w:rsidRPr="00541FE8" w:rsidRDefault="00541FE8" w:rsidP="00541FE8">
      <w:pPr>
        <w:numPr>
          <w:ilvl w:val="0"/>
          <w:numId w:val="3"/>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Calculation Rule Business Object</w:t>
      </w:r>
    </w:p>
    <w:p w14:paraId="377BA216" w14:textId="7B40E9ED" w:rsidR="00541FE8" w:rsidRPr="00541FE8" w:rsidRDefault="00541FE8" w:rsidP="00541FE8">
      <w:pPr>
        <w:numPr>
          <w:ilvl w:val="0"/>
          <w:numId w:val="3"/>
        </w:numPr>
        <w:shd w:val="clear" w:color="auto" w:fill="FFFFFF"/>
        <w:spacing w:after="0"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Bill Factor</w:t>
      </w:r>
    </w:p>
    <w:p w14:paraId="1D05FE73" w14:textId="77777777" w:rsidR="00541FE8" w:rsidRPr="00541FE8" w:rsidRDefault="00541FE8" w:rsidP="00541FE8">
      <w:pPr>
        <w:numPr>
          <w:ilvl w:val="0"/>
          <w:numId w:val="3"/>
        </w:numPr>
        <w:shd w:val="clear" w:color="auto" w:fill="FFFFFF"/>
        <w:spacing w:after="0" w:line="240" w:lineRule="auto"/>
        <w:ind w:left="0"/>
        <w:textAlignment w:val="top"/>
        <w:rPr>
          <w:rFonts w:ascii="Arial" w:eastAsia="Times New Roman" w:hAnsi="Arial" w:cs="Arial"/>
          <w:b/>
          <w:bCs/>
          <w:color w:val="0000FF"/>
          <w:sz w:val="21"/>
          <w:szCs w:val="21"/>
          <w:lang w:val="en-US"/>
        </w:rPr>
      </w:pPr>
      <w:r w:rsidRPr="00541FE8">
        <w:rPr>
          <w:rFonts w:ascii="Arial" w:eastAsia="Times New Roman" w:hAnsi="Arial" w:cs="Arial"/>
          <w:b/>
          <w:bCs/>
          <w:color w:val="0000FF"/>
          <w:sz w:val="21"/>
          <w:szCs w:val="21"/>
          <w:lang w:val="en-US"/>
        </w:rPr>
        <w:t>Calculation Rule</w:t>
      </w:r>
    </w:p>
    <w:p w14:paraId="09FF327C" w14:textId="6DFD07BA" w:rsidR="00541FE8" w:rsidRPr="00541FE8" w:rsidRDefault="00541FE8" w:rsidP="00541FE8">
      <w:pPr>
        <w:numPr>
          <w:ilvl w:val="0"/>
          <w:numId w:val="3"/>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Rate Version Calculation Group</w:t>
      </w:r>
    </w:p>
    <w:p w14:paraId="1E407513" w14:textId="4253334E" w:rsidR="00541FE8" w:rsidRPr="00541FE8" w:rsidRDefault="00541FE8" w:rsidP="00541FE8">
      <w:pPr>
        <w:numPr>
          <w:ilvl w:val="0"/>
          <w:numId w:val="3"/>
        </w:numPr>
        <w:shd w:val="clear" w:color="auto" w:fill="FFFFFF"/>
        <w:spacing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Rate Schedule</w:t>
      </w:r>
    </w:p>
    <w:p w14:paraId="29D80BF5" w14:textId="77777777" w:rsidR="00541FE8" w:rsidRPr="00541FE8" w:rsidRDefault="00541FE8" w:rsidP="00541FE8">
      <w:pPr>
        <w:shd w:val="clear" w:color="auto" w:fill="FFFFFF"/>
        <w:spacing w:after="120" w:line="240" w:lineRule="auto"/>
        <w:rPr>
          <w:rFonts w:ascii="Arial" w:eastAsia="Times New Roman" w:hAnsi="Arial" w:cs="Arial"/>
          <w:b/>
          <w:bCs/>
          <w:color w:val="555555"/>
          <w:sz w:val="21"/>
          <w:szCs w:val="21"/>
          <w:lang w:val="en-US"/>
        </w:rPr>
      </w:pPr>
      <w:r w:rsidRPr="00541FE8">
        <w:rPr>
          <w:rFonts w:ascii="Arial" w:eastAsia="Times New Roman" w:hAnsi="Arial" w:cs="Arial"/>
          <w:b/>
          <w:bCs/>
          <w:color w:val="555555"/>
          <w:sz w:val="21"/>
          <w:szCs w:val="21"/>
          <w:lang w:val="en-US"/>
        </w:rPr>
        <w:t>4. The base package usage transaction business object is represented by D2-UsageTransaction. The usage calculation engine or process drives the specifics of the usage to be calculated on this business object.</w:t>
      </w:r>
      <w:r w:rsidRPr="00541FE8">
        <w:rPr>
          <w:rFonts w:ascii="Arial" w:eastAsia="Times New Roman" w:hAnsi="Arial" w:cs="Arial"/>
          <w:b/>
          <w:bCs/>
          <w:color w:val="555555"/>
          <w:sz w:val="21"/>
          <w:szCs w:val="21"/>
          <w:lang w:val="en-US"/>
        </w:rPr>
        <w:br/>
      </w:r>
      <w:r w:rsidRPr="00541FE8">
        <w:rPr>
          <w:rFonts w:ascii="Arial" w:eastAsia="Times New Roman" w:hAnsi="Arial" w:cs="Arial"/>
          <w:b/>
          <w:bCs/>
          <w:color w:val="555555"/>
          <w:sz w:val="21"/>
          <w:szCs w:val="21"/>
          <w:lang w:val="en-US"/>
        </w:rPr>
        <w:br/>
        <w:t>Based on this, which three configuration areas will have an impact on the usage calculation process? (Choose three.)</w:t>
      </w:r>
    </w:p>
    <w:p w14:paraId="604F765E" w14:textId="1457116A" w:rsidR="00541FE8" w:rsidRPr="00541FE8" w:rsidRDefault="00541FE8" w:rsidP="00541FE8">
      <w:pPr>
        <w:numPr>
          <w:ilvl w:val="0"/>
          <w:numId w:val="4"/>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VEE rule</w:t>
      </w:r>
    </w:p>
    <w:p w14:paraId="637CCF1C" w14:textId="6E3AE427" w:rsidR="00541FE8" w:rsidRPr="00541FE8" w:rsidRDefault="00541FE8" w:rsidP="00541FE8">
      <w:pPr>
        <w:numPr>
          <w:ilvl w:val="0"/>
          <w:numId w:val="4"/>
        </w:numPr>
        <w:shd w:val="clear" w:color="auto" w:fill="FFFFFF"/>
        <w:spacing w:after="0"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TOU map</w:t>
      </w:r>
    </w:p>
    <w:p w14:paraId="462252A4" w14:textId="21CF19E0" w:rsidR="00541FE8" w:rsidRPr="00541FE8" w:rsidRDefault="00541FE8" w:rsidP="004F357F">
      <w:pPr>
        <w:numPr>
          <w:ilvl w:val="0"/>
          <w:numId w:val="4"/>
        </w:numPr>
        <w:shd w:val="clear" w:color="auto" w:fill="FFFFFF"/>
        <w:spacing w:line="240" w:lineRule="auto"/>
        <w:ind w:left="0"/>
        <w:textAlignment w:val="top"/>
        <w:rPr>
          <w:rFonts w:ascii="Arial" w:eastAsia="Times New Roman" w:hAnsi="Arial" w:cs="Arial"/>
          <w:b/>
          <w:bCs/>
          <w:color w:val="0000FF"/>
          <w:sz w:val="21"/>
          <w:szCs w:val="21"/>
          <w:lang w:val="en-US"/>
        </w:rPr>
      </w:pPr>
      <w:r w:rsidRPr="00541FE8">
        <w:rPr>
          <w:rFonts w:ascii="Arial" w:eastAsia="Times New Roman" w:hAnsi="Arial" w:cs="Arial"/>
          <w:b/>
          <w:bCs/>
          <w:color w:val="0000FF"/>
          <w:sz w:val="21"/>
          <w:szCs w:val="21"/>
          <w:lang w:val="en-US"/>
        </w:rPr>
        <w:t>Usage Rule</w:t>
      </w:r>
    </w:p>
    <w:p w14:paraId="2DC945E1" w14:textId="6DE4BD7D" w:rsidR="00541FE8" w:rsidRPr="00541FE8" w:rsidRDefault="00541FE8" w:rsidP="00541FE8">
      <w:pPr>
        <w:numPr>
          <w:ilvl w:val="0"/>
          <w:numId w:val="4"/>
        </w:numPr>
        <w:shd w:val="clear" w:color="auto" w:fill="FFFFFF"/>
        <w:spacing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Factor Override</w:t>
      </w:r>
    </w:p>
    <w:p w14:paraId="1D8A9C96" w14:textId="77777777" w:rsidR="00541FE8" w:rsidRPr="00541FE8" w:rsidRDefault="00541FE8" w:rsidP="00541FE8">
      <w:pPr>
        <w:shd w:val="clear" w:color="auto" w:fill="FFFFFF"/>
        <w:spacing w:after="0" w:line="240" w:lineRule="auto"/>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Explanation:</w:t>
      </w:r>
    </w:p>
    <w:p w14:paraId="69A5E3C8" w14:textId="77777777" w:rsidR="00541FE8" w:rsidRPr="00541FE8" w:rsidRDefault="00541FE8" w:rsidP="00541FE8">
      <w:pPr>
        <w:shd w:val="clear" w:color="auto" w:fill="FFFFFF"/>
        <w:spacing w:after="300" w:line="240" w:lineRule="auto"/>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Reference: https://docs.oracle.com/cd/E38983_04/PDF/MDM_Configuration_Guide_v2_1_0_3.pdf</w:t>
      </w:r>
    </w:p>
    <w:p w14:paraId="1C205FD4" w14:textId="77777777" w:rsidR="00541FE8" w:rsidRPr="00541FE8" w:rsidRDefault="00541FE8" w:rsidP="00541FE8">
      <w:pPr>
        <w:shd w:val="clear" w:color="auto" w:fill="FFFFFF"/>
        <w:spacing w:after="120" w:line="240" w:lineRule="auto"/>
        <w:rPr>
          <w:rFonts w:ascii="Arial" w:eastAsia="Times New Roman" w:hAnsi="Arial" w:cs="Arial"/>
          <w:b/>
          <w:bCs/>
          <w:color w:val="555555"/>
          <w:sz w:val="21"/>
          <w:szCs w:val="21"/>
          <w:lang w:val="en-US"/>
        </w:rPr>
      </w:pPr>
      <w:r w:rsidRPr="00541FE8">
        <w:rPr>
          <w:rFonts w:ascii="Arial" w:eastAsia="Times New Roman" w:hAnsi="Arial" w:cs="Arial"/>
          <w:b/>
          <w:bCs/>
          <w:color w:val="555555"/>
          <w:sz w:val="21"/>
          <w:szCs w:val="21"/>
          <w:lang w:val="en-US"/>
        </w:rPr>
        <w:t>5. Which describes derived values and their relationship with Final Measurements?</w:t>
      </w:r>
    </w:p>
    <w:p w14:paraId="2108F846" w14:textId="3E2E790C" w:rsidR="00541FE8" w:rsidRPr="00541FE8" w:rsidRDefault="00541FE8" w:rsidP="00541FE8">
      <w:pPr>
        <w:numPr>
          <w:ilvl w:val="0"/>
          <w:numId w:val="5"/>
        </w:numPr>
        <w:shd w:val="clear" w:color="auto" w:fill="FFFFFF"/>
        <w:spacing w:after="0"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Final Measurements can have multiple derived values, which represent other values for the same Final Measurement Date/Time.</w:t>
      </w:r>
    </w:p>
    <w:p w14:paraId="70294801" w14:textId="77777777" w:rsidR="00541FE8" w:rsidRPr="00541FE8" w:rsidRDefault="00541FE8" w:rsidP="00541FE8">
      <w:pPr>
        <w:numPr>
          <w:ilvl w:val="0"/>
          <w:numId w:val="5"/>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Derived values can have multiple Final Measurements, which represent other values for the same Initial Measurement Date/Time.</w:t>
      </w:r>
    </w:p>
    <w:p w14:paraId="7ABC3F80" w14:textId="77777777" w:rsidR="00541FE8" w:rsidRPr="00541FE8" w:rsidRDefault="00541FE8" w:rsidP="00541FE8">
      <w:pPr>
        <w:numPr>
          <w:ilvl w:val="0"/>
          <w:numId w:val="5"/>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Final Measurements can have one derived value, which represents an alternative for the same Final Measurement Date/Time.</w:t>
      </w:r>
    </w:p>
    <w:p w14:paraId="22DD1C7E" w14:textId="3D3D4AEE" w:rsidR="00541FE8" w:rsidRPr="00541FE8" w:rsidRDefault="00541FE8" w:rsidP="00541FE8">
      <w:pPr>
        <w:numPr>
          <w:ilvl w:val="0"/>
          <w:numId w:val="5"/>
        </w:numPr>
        <w:shd w:val="clear" w:color="auto" w:fill="FFFFFF"/>
        <w:spacing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Final Measurements can have one derived value, which represents the Initial Measurement for the same Final Measurement Date/Time.</w:t>
      </w:r>
    </w:p>
    <w:p w14:paraId="179AE584" w14:textId="77777777" w:rsidR="00541FE8" w:rsidRPr="00541FE8" w:rsidRDefault="00541FE8" w:rsidP="00541FE8">
      <w:pPr>
        <w:shd w:val="clear" w:color="auto" w:fill="FFFFFF"/>
        <w:spacing w:after="120" w:line="240" w:lineRule="auto"/>
        <w:rPr>
          <w:rFonts w:ascii="Arial" w:eastAsia="Times New Roman" w:hAnsi="Arial" w:cs="Arial"/>
          <w:b/>
          <w:bCs/>
          <w:color w:val="555555"/>
          <w:sz w:val="21"/>
          <w:szCs w:val="21"/>
          <w:lang w:val="en-US"/>
        </w:rPr>
      </w:pPr>
      <w:r w:rsidRPr="00541FE8">
        <w:rPr>
          <w:rFonts w:ascii="Arial" w:eastAsia="Times New Roman" w:hAnsi="Arial" w:cs="Arial"/>
          <w:b/>
          <w:bCs/>
          <w:color w:val="555555"/>
          <w:sz w:val="21"/>
          <w:szCs w:val="21"/>
          <w:lang w:val="en-US"/>
        </w:rPr>
        <w:t>6. What happens when a device’s measuring components are reconfigured (a new measuring component will be read) at a service point?</w:t>
      </w:r>
    </w:p>
    <w:p w14:paraId="2C63C754" w14:textId="77777777" w:rsidR="00541FE8" w:rsidRPr="00541FE8" w:rsidRDefault="00541FE8" w:rsidP="00541FE8">
      <w:pPr>
        <w:numPr>
          <w:ilvl w:val="0"/>
          <w:numId w:val="6"/>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lastRenderedPageBreak/>
        <w:t>A device with a new configuration type is created.</w:t>
      </w:r>
    </w:p>
    <w:p w14:paraId="0AE2BB35" w14:textId="77777777" w:rsidR="00541FE8" w:rsidRPr="00541FE8" w:rsidRDefault="00541FE8" w:rsidP="00541FE8">
      <w:pPr>
        <w:numPr>
          <w:ilvl w:val="0"/>
          <w:numId w:val="6"/>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The original installation event is updated with the “removal” (expire old device configuration).</w:t>
      </w:r>
    </w:p>
    <w:p w14:paraId="3734A3FD" w14:textId="77777777" w:rsidR="00541FE8" w:rsidRPr="00541FE8" w:rsidRDefault="00541FE8" w:rsidP="00541FE8">
      <w:pPr>
        <w:numPr>
          <w:ilvl w:val="0"/>
          <w:numId w:val="6"/>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A device with a new configuration type is created. Moreover, a new installation event is created to ‘install” (new device configuration).</w:t>
      </w:r>
    </w:p>
    <w:p w14:paraId="7984028A" w14:textId="77777777" w:rsidR="00541FE8" w:rsidRPr="00541FE8" w:rsidRDefault="00541FE8" w:rsidP="00541FE8">
      <w:pPr>
        <w:numPr>
          <w:ilvl w:val="0"/>
          <w:numId w:val="6"/>
        </w:numPr>
        <w:shd w:val="clear" w:color="auto" w:fill="FFFFFF"/>
        <w:spacing w:after="0"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The original installation event is updated with the “removal” (expire old device configuration) and a new installation event is created to “install” (new device configuration</w:t>
      </w:r>
      <w:proofErr w:type="gramStart"/>
      <w:r w:rsidRPr="00541FE8">
        <w:rPr>
          <w:rFonts w:ascii="Arial" w:eastAsia="Times New Roman" w:hAnsi="Arial" w:cs="Arial"/>
          <w:b/>
          <w:bCs/>
          <w:color w:val="0000FF"/>
          <w:sz w:val="21"/>
          <w:szCs w:val="21"/>
          <w:lang w:val="en-US"/>
        </w:rPr>
        <w:t>).</w:t>
      </w:r>
      <w:r w:rsidRPr="00541FE8">
        <w:rPr>
          <w:rFonts w:ascii="Arial" w:eastAsia="Times New Roman" w:hAnsi="Arial" w:cs="Arial"/>
          <w:color w:val="0000FF"/>
          <w:sz w:val="21"/>
          <w:szCs w:val="21"/>
          <w:bdr w:val="none" w:sz="0" w:space="0" w:color="auto" w:frame="1"/>
          <w:lang w:val="en-US"/>
        </w:rPr>
        <w:t>correct</w:t>
      </w:r>
      <w:proofErr w:type="gramEnd"/>
    </w:p>
    <w:p w14:paraId="58625BF9" w14:textId="77777777" w:rsidR="00541FE8" w:rsidRPr="00541FE8" w:rsidRDefault="00541FE8" w:rsidP="00541FE8">
      <w:pPr>
        <w:numPr>
          <w:ilvl w:val="0"/>
          <w:numId w:val="6"/>
        </w:numPr>
        <w:shd w:val="clear" w:color="auto" w:fill="FFFFFF"/>
        <w:spacing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A new installation event is created to “install” (new device configuration).</w:t>
      </w:r>
    </w:p>
    <w:p w14:paraId="506F3267" w14:textId="77777777" w:rsidR="00541FE8" w:rsidRPr="00541FE8" w:rsidRDefault="00541FE8" w:rsidP="00541FE8">
      <w:pPr>
        <w:shd w:val="clear" w:color="auto" w:fill="FFFFFF"/>
        <w:spacing w:after="120" w:line="240" w:lineRule="auto"/>
        <w:rPr>
          <w:rFonts w:ascii="Arial" w:eastAsia="Times New Roman" w:hAnsi="Arial" w:cs="Arial"/>
          <w:b/>
          <w:bCs/>
          <w:color w:val="555555"/>
          <w:sz w:val="21"/>
          <w:szCs w:val="21"/>
          <w:lang w:val="en-US"/>
        </w:rPr>
      </w:pPr>
      <w:r w:rsidRPr="00541FE8">
        <w:rPr>
          <w:rFonts w:ascii="Arial" w:eastAsia="Times New Roman" w:hAnsi="Arial" w:cs="Arial"/>
          <w:b/>
          <w:bCs/>
          <w:color w:val="555555"/>
          <w:sz w:val="21"/>
          <w:szCs w:val="21"/>
          <w:lang w:val="en-US"/>
        </w:rPr>
        <w:t>7. You are configuring a VEE group to include rules to be executed when loading the initial measurement data (IMD).</w:t>
      </w:r>
      <w:r w:rsidRPr="00541FE8">
        <w:rPr>
          <w:rFonts w:ascii="Arial" w:eastAsia="Times New Roman" w:hAnsi="Arial" w:cs="Arial"/>
          <w:b/>
          <w:bCs/>
          <w:color w:val="555555"/>
          <w:sz w:val="21"/>
          <w:szCs w:val="21"/>
          <w:lang w:val="en-US"/>
        </w:rPr>
        <w:br/>
      </w:r>
      <w:r w:rsidRPr="00541FE8">
        <w:rPr>
          <w:rFonts w:ascii="Arial" w:eastAsia="Times New Roman" w:hAnsi="Arial" w:cs="Arial"/>
          <w:b/>
          <w:bCs/>
          <w:color w:val="555555"/>
          <w:sz w:val="21"/>
          <w:szCs w:val="21"/>
          <w:lang w:val="en-US"/>
        </w:rPr>
        <w:br/>
        <w:t>What is the VEE group directly associated with?</w:t>
      </w:r>
    </w:p>
    <w:p w14:paraId="54ED762E" w14:textId="7E4C6BDD" w:rsidR="00541FE8" w:rsidRPr="00541FE8" w:rsidRDefault="00541FE8" w:rsidP="00541FE8">
      <w:pPr>
        <w:numPr>
          <w:ilvl w:val="0"/>
          <w:numId w:val="7"/>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Device Type and Measuring Component Type</w:t>
      </w:r>
    </w:p>
    <w:p w14:paraId="34DB979B" w14:textId="752C3499" w:rsidR="00541FE8" w:rsidRPr="00541FE8" w:rsidRDefault="00541FE8" w:rsidP="00541FE8">
      <w:pPr>
        <w:numPr>
          <w:ilvl w:val="0"/>
          <w:numId w:val="7"/>
        </w:numPr>
        <w:shd w:val="clear" w:color="auto" w:fill="FFFFFF"/>
        <w:spacing w:after="0"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Measuring Component Type</w:t>
      </w:r>
      <w:r w:rsidR="00E2542E">
        <w:rPr>
          <w:rFonts w:ascii="Arial" w:eastAsia="Times New Roman" w:hAnsi="Arial" w:cs="Arial"/>
          <w:color w:val="0000FF"/>
          <w:sz w:val="21"/>
          <w:szCs w:val="21"/>
          <w:bdr w:val="none" w:sz="0" w:space="0" w:color="auto" w:frame="1"/>
          <w:lang w:val="en-US"/>
        </w:rPr>
        <w:t xml:space="preserve"> Correct</w:t>
      </w:r>
    </w:p>
    <w:p w14:paraId="6753E76E" w14:textId="2BA021A4" w:rsidR="00541FE8" w:rsidRPr="00541FE8" w:rsidRDefault="00541FE8" w:rsidP="00541FE8">
      <w:pPr>
        <w:numPr>
          <w:ilvl w:val="0"/>
          <w:numId w:val="7"/>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Device Type</w:t>
      </w:r>
    </w:p>
    <w:p w14:paraId="18E243CD" w14:textId="68FFB7EF" w:rsidR="00541FE8" w:rsidRPr="00541FE8" w:rsidRDefault="00541FE8" w:rsidP="00541FE8">
      <w:pPr>
        <w:numPr>
          <w:ilvl w:val="0"/>
          <w:numId w:val="7"/>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Usage Type</w:t>
      </w:r>
    </w:p>
    <w:p w14:paraId="3B4FC4F9" w14:textId="0C251DBA" w:rsidR="00541FE8" w:rsidRPr="00541FE8" w:rsidRDefault="00541FE8" w:rsidP="00541FE8">
      <w:pPr>
        <w:numPr>
          <w:ilvl w:val="0"/>
          <w:numId w:val="7"/>
        </w:numPr>
        <w:shd w:val="clear" w:color="auto" w:fill="FFFFFF"/>
        <w:spacing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Device Configuration Type</w:t>
      </w:r>
    </w:p>
    <w:p w14:paraId="7E445274" w14:textId="77777777" w:rsidR="00541FE8" w:rsidRPr="00541FE8" w:rsidRDefault="00541FE8" w:rsidP="00541FE8">
      <w:pPr>
        <w:shd w:val="clear" w:color="auto" w:fill="FFFFFF"/>
        <w:spacing w:after="0" w:line="240" w:lineRule="auto"/>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Explanation:</w:t>
      </w:r>
    </w:p>
    <w:p w14:paraId="1E1C2FB8" w14:textId="77777777" w:rsidR="00541FE8" w:rsidRPr="00541FE8" w:rsidRDefault="00541FE8" w:rsidP="00541FE8">
      <w:pPr>
        <w:shd w:val="clear" w:color="auto" w:fill="FFFFFF"/>
        <w:spacing w:after="300" w:line="240" w:lineRule="auto"/>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Reference: https://docs.oracle.com/cd/E38983_04/PDF/MDM_Configuration_Guide_v2_1_0_3.pdf (151 152)</w:t>
      </w:r>
    </w:p>
    <w:p w14:paraId="3A5F57D2" w14:textId="77777777" w:rsidR="00541FE8" w:rsidRPr="00541FE8" w:rsidRDefault="00541FE8" w:rsidP="00541FE8">
      <w:pPr>
        <w:shd w:val="clear" w:color="auto" w:fill="FFFFFF"/>
        <w:spacing w:after="120" w:line="240" w:lineRule="auto"/>
        <w:rPr>
          <w:rFonts w:ascii="Arial" w:eastAsia="Times New Roman" w:hAnsi="Arial" w:cs="Arial"/>
          <w:b/>
          <w:bCs/>
          <w:color w:val="555555"/>
          <w:sz w:val="21"/>
          <w:szCs w:val="21"/>
          <w:lang w:val="en-US"/>
        </w:rPr>
      </w:pPr>
      <w:r w:rsidRPr="00541FE8">
        <w:rPr>
          <w:rFonts w:ascii="Arial" w:eastAsia="Times New Roman" w:hAnsi="Arial" w:cs="Arial"/>
          <w:b/>
          <w:bCs/>
          <w:color w:val="555555"/>
          <w:sz w:val="21"/>
          <w:szCs w:val="21"/>
          <w:lang w:val="en-US"/>
        </w:rPr>
        <w:t>8. Using a base-supplied algorithm type, what is payment distribution priority typically determined by?</w:t>
      </w:r>
    </w:p>
    <w:p w14:paraId="76B8F30B" w14:textId="77777777" w:rsidR="00541FE8" w:rsidRPr="00541FE8" w:rsidRDefault="00541FE8" w:rsidP="00541FE8">
      <w:pPr>
        <w:numPr>
          <w:ilvl w:val="0"/>
          <w:numId w:val="8"/>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Customer Class and Service Agreement Type</w:t>
      </w:r>
    </w:p>
    <w:p w14:paraId="3050F272" w14:textId="77777777" w:rsidR="00541FE8" w:rsidRPr="00541FE8" w:rsidRDefault="00541FE8" w:rsidP="00541FE8">
      <w:pPr>
        <w:numPr>
          <w:ilvl w:val="0"/>
          <w:numId w:val="8"/>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Payment Type + Debt Age</w:t>
      </w:r>
    </w:p>
    <w:p w14:paraId="2C71C639" w14:textId="77777777" w:rsidR="00541FE8" w:rsidRPr="00541FE8" w:rsidRDefault="00541FE8" w:rsidP="00541FE8">
      <w:pPr>
        <w:numPr>
          <w:ilvl w:val="0"/>
          <w:numId w:val="8"/>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Debt Age</w:t>
      </w:r>
    </w:p>
    <w:p w14:paraId="23CE4523" w14:textId="698EBD35" w:rsidR="00541FE8" w:rsidRPr="00541FE8" w:rsidRDefault="00541FE8" w:rsidP="00541FE8">
      <w:pPr>
        <w:numPr>
          <w:ilvl w:val="0"/>
          <w:numId w:val="8"/>
        </w:numPr>
        <w:shd w:val="clear" w:color="auto" w:fill="FFFFFF"/>
        <w:spacing w:after="0"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Service Agreement Type’s Priority and Debt Age</w:t>
      </w:r>
      <w:r>
        <w:rPr>
          <w:rFonts w:ascii="Arial" w:eastAsia="Times New Roman" w:hAnsi="Arial" w:cs="Arial"/>
          <w:color w:val="0000FF"/>
          <w:sz w:val="21"/>
          <w:szCs w:val="21"/>
          <w:bdr w:val="none" w:sz="0" w:space="0" w:color="auto" w:frame="1"/>
          <w:lang w:val="en-US"/>
        </w:rPr>
        <w:t xml:space="preserve"> Correct</w:t>
      </w:r>
    </w:p>
    <w:p w14:paraId="3B3F0DAE" w14:textId="2C14FBCD" w:rsidR="00541FE8" w:rsidRPr="00541FE8" w:rsidRDefault="00541FE8" w:rsidP="00541FE8">
      <w:pPr>
        <w:numPr>
          <w:ilvl w:val="0"/>
          <w:numId w:val="8"/>
        </w:numPr>
        <w:shd w:val="clear" w:color="auto" w:fill="FFFFFF"/>
        <w:spacing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Customer Class and Debt Ag</w:t>
      </w:r>
      <w:r>
        <w:rPr>
          <w:rFonts w:ascii="Arial" w:eastAsia="Times New Roman" w:hAnsi="Arial" w:cs="Arial"/>
          <w:color w:val="555555"/>
          <w:sz w:val="21"/>
          <w:szCs w:val="21"/>
          <w:lang w:val="en-US"/>
        </w:rPr>
        <w:t>e</w:t>
      </w:r>
    </w:p>
    <w:p w14:paraId="7CFCAE5D" w14:textId="77777777" w:rsidR="00541FE8" w:rsidRPr="00541FE8" w:rsidRDefault="00541FE8" w:rsidP="00541FE8">
      <w:pPr>
        <w:shd w:val="clear" w:color="auto" w:fill="FFFFFF"/>
        <w:spacing w:after="120" w:line="240" w:lineRule="auto"/>
        <w:rPr>
          <w:rFonts w:ascii="Arial" w:eastAsia="Times New Roman" w:hAnsi="Arial" w:cs="Arial"/>
          <w:b/>
          <w:bCs/>
          <w:color w:val="555555"/>
          <w:sz w:val="21"/>
          <w:szCs w:val="21"/>
          <w:lang w:val="en-US"/>
        </w:rPr>
      </w:pPr>
      <w:r w:rsidRPr="00541FE8">
        <w:rPr>
          <w:rFonts w:ascii="Arial" w:eastAsia="Times New Roman" w:hAnsi="Arial" w:cs="Arial"/>
          <w:b/>
          <w:bCs/>
          <w:color w:val="555555"/>
          <w:sz w:val="21"/>
          <w:szCs w:val="21"/>
          <w:lang w:val="en-US"/>
        </w:rPr>
        <w:t>9. Your client has installed scalar devices to measure the solar energy generated (Export) and the energy received (Import) from the National Grid. This data is stored in separate measuring components (registers).</w:t>
      </w:r>
      <w:r w:rsidRPr="00541FE8">
        <w:rPr>
          <w:rFonts w:ascii="Arial" w:eastAsia="Times New Roman" w:hAnsi="Arial" w:cs="Arial"/>
          <w:b/>
          <w:bCs/>
          <w:color w:val="555555"/>
          <w:sz w:val="21"/>
          <w:szCs w:val="21"/>
          <w:lang w:val="en-US"/>
        </w:rPr>
        <w:br/>
      </w:r>
      <w:r w:rsidRPr="00541FE8">
        <w:rPr>
          <w:rFonts w:ascii="Arial" w:eastAsia="Times New Roman" w:hAnsi="Arial" w:cs="Arial"/>
          <w:b/>
          <w:bCs/>
          <w:color w:val="555555"/>
          <w:sz w:val="21"/>
          <w:szCs w:val="21"/>
          <w:lang w:val="en-US"/>
        </w:rPr>
        <w:br/>
        <w:t>The validation rules are generally the same for both measuring components, but there is one exception. The Negative Consumption check applies only to energy received (import).</w:t>
      </w:r>
      <w:r w:rsidRPr="00541FE8">
        <w:rPr>
          <w:rFonts w:ascii="Arial" w:eastAsia="Times New Roman" w:hAnsi="Arial" w:cs="Arial"/>
          <w:b/>
          <w:bCs/>
          <w:color w:val="555555"/>
          <w:sz w:val="21"/>
          <w:szCs w:val="21"/>
          <w:lang w:val="en-US"/>
        </w:rPr>
        <w:br/>
      </w:r>
      <w:r w:rsidRPr="00541FE8">
        <w:rPr>
          <w:rFonts w:ascii="Arial" w:eastAsia="Times New Roman" w:hAnsi="Arial" w:cs="Arial"/>
          <w:b/>
          <w:bCs/>
          <w:color w:val="555555"/>
          <w:sz w:val="21"/>
          <w:szCs w:val="21"/>
          <w:lang w:val="en-US"/>
        </w:rPr>
        <w:br/>
        <w:t>Which two are possible configurations resulting in the Negative Consumption rule being checked for energy received (import) only? (Choose two.)</w:t>
      </w:r>
    </w:p>
    <w:p w14:paraId="04BA240B" w14:textId="45D3536F" w:rsidR="00541FE8" w:rsidRPr="00541FE8" w:rsidRDefault="00541FE8" w:rsidP="00541FE8">
      <w:pPr>
        <w:numPr>
          <w:ilvl w:val="0"/>
          <w:numId w:val="9"/>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Modify the base VEE rule</w:t>
      </w:r>
    </w:p>
    <w:p w14:paraId="74057004" w14:textId="77777777" w:rsidR="00541FE8" w:rsidRPr="00541FE8" w:rsidRDefault="00541FE8" w:rsidP="00541FE8">
      <w:pPr>
        <w:numPr>
          <w:ilvl w:val="0"/>
          <w:numId w:val="9"/>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Remove the Negative Consumption check from the VEE group.</w:t>
      </w:r>
    </w:p>
    <w:p w14:paraId="0FA7483C" w14:textId="44BF7B96" w:rsidR="00541FE8" w:rsidRPr="00B55C26" w:rsidRDefault="00541FE8" w:rsidP="00541FE8">
      <w:pPr>
        <w:numPr>
          <w:ilvl w:val="0"/>
          <w:numId w:val="9"/>
        </w:numPr>
        <w:shd w:val="clear" w:color="auto" w:fill="FFFFFF"/>
        <w:spacing w:after="0" w:line="240" w:lineRule="auto"/>
        <w:ind w:left="0"/>
        <w:textAlignment w:val="top"/>
        <w:rPr>
          <w:rFonts w:ascii="Arial" w:eastAsia="Times New Roman" w:hAnsi="Arial" w:cs="Arial"/>
          <w:color w:val="555555"/>
          <w:sz w:val="21"/>
          <w:szCs w:val="21"/>
          <w:lang w:val="en-US"/>
        </w:rPr>
      </w:pPr>
      <w:bookmarkStart w:id="0" w:name="_GoBack"/>
      <w:r w:rsidRPr="00B55C26">
        <w:rPr>
          <w:rFonts w:ascii="Arial" w:eastAsia="Times New Roman" w:hAnsi="Arial" w:cs="Arial"/>
          <w:color w:val="555555"/>
          <w:sz w:val="21"/>
          <w:szCs w:val="21"/>
          <w:lang w:val="en-US"/>
        </w:rPr>
        <w:t>Create two different VEE groups</w:t>
      </w:r>
    </w:p>
    <w:bookmarkEnd w:id="0"/>
    <w:p w14:paraId="1F8AE62A" w14:textId="77777777" w:rsidR="00541FE8" w:rsidRPr="00541FE8" w:rsidRDefault="00541FE8" w:rsidP="00541FE8">
      <w:pPr>
        <w:numPr>
          <w:ilvl w:val="0"/>
          <w:numId w:val="9"/>
        </w:numPr>
        <w:shd w:val="clear" w:color="auto" w:fill="FFFFFF"/>
        <w:spacing w:after="0"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 xml:space="preserve">Use Eligibility </w:t>
      </w:r>
      <w:proofErr w:type="spellStart"/>
      <w:r w:rsidRPr="00541FE8">
        <w:rPr>
          <w:rFonts w:ascii="Arial" w:eastAsia="Times New Roman" w:hAnsi="Arial" w:cs="Arial"/>
          <w:b/>
          <w:bCs/>
          <w:color w:val="0000FF"/>
          <w:sz w:val="21"/>
          <w:szCs w:val="21"/>
          <w:lang w:val="en-US"/>
        </w:rPr>
        <w:t>Criteria.</w:t>
      </w:r>
      <w:r w:rsidRPr="00541FE8">
        <w:rPr>
          <w:rFonts w:ascii="Arial" w:eastAsia="Times New Roman" w:hAnsi="Arial" w:cs="Arial"/>
          <w:color w:val="0000FF"/>
          <w:sz w:val="21"/>
          <w:szCs w:val="21"/>
          <w:bdr w:val="none" w:sz="0" w:space="0" w:color="auto" w:frame="1"/>
          <w:lang w:val="en-US"/>
        </w:rPr>
        <w:t>correct</w:t>
      </w:r>
      <w:proofErr w:type="spellEnd"/>
    </w:p>
    <w:p w14:paraId="2EAC8DDC" w14:textId="1DD335CD" w:rsidR="00541FE8" w:rsidRDefault="00541FE8" w:rsidP="00B55C26">
      <w:pPr>
        <w:numPr>
          <w:ilvl w:val="0"/>
          <w:numId w:val="9"/>
        </w:numPr>
        <w:shd w:val="clear" w:color="auto" w:fill="FFFFFF"/>
        <w:spacing w:after="0" w:line="240" w:lineRule="auto"/>
        <w:ind w:left="0"/>
        <w:textAlignment w:val="top"/>
        <w:rPr>
          <w:rFonts w:ascii="Arial" w:eastAsia="Times New Roman" w:hAnsi="Arial" w:cs="Arial"/>
          <w:b/>
          <w:bCs/>
          <w:color w:val="0000FF"/>
          <w:sz w:val="21"/>
          <w:szCs w:val="21"/>
          <w:lang w:val="en-US"/>
        </w:rPr>
      </w:pPr>
      <w:r w:rsidRPr="00B55C26">
        <w:rPr>
          <w:rFonts w:ascii="Arial" w:eastAsia="Times New Roman" w:hAnsi="Arial" w:cs="Arial"/>
          <w:b/>
          <w:bCs/>
          <w:color w:val="0000FF"/>
          <w:sz w:val="21"/>
          <w:szCs w:val="21"/>
          <w:lang w:val="en-US"/>
        </w:rPr>
        <w:t xml:space="preserve">Use the Skip Flag in the VEE </w:t>
      </w:r>
      <w:proofErr w:type="spellStart"/>
      <w:proofErr w:type="gramStart"/>
      <w:r w:rsidRPr="00B55C26">
        <w:rPr>
          <w:rFonts w:ascii="Arial" w:eastAsia="Times New Roman" w:hAnsi="Arial" w:cs="Arial"/>
          <w:b/>
          <w:bCs/>
          <w:color w:val="0000FF"/>
          <w:sz w:val="21"/>
          <w:szCs w:val="21"/>
          <w:lang w:val="en-US"/>
        </w:rPr>
        <w:t>rule.</w:t>
      </w:r>
      <w:r w:rsidR="00414CF9" w:rsidRPr="00B55C26">
        <w:rPr>
          <w:rFonts w:ascii="Arial" w:eastAsia="Times New Roman" w:hAnsi="Arial" w:cs="Arial"/>
          <w:b/>
          <w:bCs/>
          <w:color w:val="0000FF"/>
          <w:sz w:val="21"/>
          <w:szCs w:val="21"/>
          <w:lang w:val="en-US"/>
        </w:rPr>
        <w:t>correct</w:t>
      </w:r>
      <w:proofErr w:type="spellEnd"/>
      <w:proofErr w:type="gramEnd"/>
    </w:p>
    <w:p w14:paraId="4AC3B231" w14:textId="77777777" w:rsidR="00B55C26" w:rsidRPr="00B55C26" w:rsidRDefault="00B55C26" w:rsidP="00B55C26">
      <w:pPr>
        <w:shd w:val="clear" w:color="auto" w:fill="FFFFFF"/>
        <w:spacing w:after="0" w:line="240" w:lineRule="auto"/>
        <w:textAlignment w:val="top"/>
        <w:rPr>
          <w:rFonts w:ascii="Arial" w:eastAsia="Times New Roman" w:hAnsi="Arial" w:cs="Arial"/>
          <w:b/>
          <w:bCs/>
          <w:color w:val="0000FF"/>
          <w:sz w:val="21"/>
          <w:szCs w:val="21"/>
          <w:lang w:val="en-US"/>
        </w:rPr>
      </w:pPr>
    </w:p>
    <w:p w14:paraId="2CCAF808" w14:textId="77777777" w:rsidR="00541FE8" w:rsidRPr="00541FE8" w:rsidRDefault="00541FE8" w:rsidP="00541FE8">
      <w:pPr>
        <w:shd w:val="clear" w:color="auto" w:fill="FFFFFF"/>
        <w:spacing w:after="120" w:line="240" w:lineRule="auto"/>
        <w:rPr>
          <w:rFonts w:ascii="Arial" w:eastAsia="Times New Roman" w:hAnsi="Arial" w:cs="Arial"/>
          <w:b/>
          <w:bCs/>
          <w:color w:val="555555"/>
          <w:sz w:val="21"/>
          <w:szCs w:val="21"/>
          <w:lang w:val="en-US"/>
        </w:rPr>
      </w:pPr>
      <w:r w:rsidRPr="00541FE8">
        <w:rPr>
          <w:rFonts w:ascii="Arial" w:eastAsia="Times New Roman" w:hAnsi="Arial" w:cs="Arial"/>
          <w:b/>
          <w:bCs/>
          <w:color w:val="555555"/>
          <w:sz w:val="21"/>
          <w:szCs w:val="21"/>
          <w:lang w:val="en-US"/>
        </w:rPr>
        <w:t>10. Your client has the following requirements:</w:t>
      </w:r>
      <w:r w:rsidRPr="00541FE8">
        <w:rPr>
          <w:rFonts w:ascii="Arial" w:eastAsia="Times New Roman" w:hAnsi="Arial" w:cs="Arial"/>
          <w:b/>
          <w:bCs/>
          <w:color w:val="555555"/>
          <w:sz w:val="21"/>
          <w:szCs w:val="21"/>
          <w:lang w:val="en-US"/>
        </w:rPr>
        <w:br/>
      </w:r>
      <w:r w:rsidRPr="00541FE8">
        <w:rPr>
          <w:rFonts w:ascii="Arial" w:eastAsia="Times New Roman" w:hAnsi="Arial" w:cs="Arial"/>
          <w:b/>
          <w:bCs/>
          <w:color w:val="555555"/>
          <w:sz w:val="21"/>
          <w:szCs w:val="21"/>
          <w:lang w:val="en-US"/>
        </w:rPr>
        <w:br/>
        <w:t>Many customers are installing their own solar electrical generation equipment. When these customers generate more electricity than required for their own use, the surplus can he exported back to the power grid.</w:t>
      </w:r>
      <w:r w:rsidRPr="00541FE8">
        <w:rPr>
          <w:rFonts w:ascii="Arial" w:eastAsia="Times New Roman" w:hAnsi="Arial" w:cs="Arial"/>
          <w:b/>
          <w:bCs/>
          <w:color w:val="555555"/>
          <w:sz w:val="21"/>
          <w:szCs w:val="21"/>
          <w:lang w:val="en-US"/>
        </w:rPr>
        <w:br/>
      </w:r>
      <w:r w:rsidRPr="00541FE8">
        <w:rPr>
          <w:rFonts w:ascii="Arial" w:eastAsia="Times New Roman" w:hAnsi="Arial" w:cs="Arial"/>
          <w:b/>
          <w:bCs/>
          <w:color w:val="555555"/>
          <w:sz w:val="21"/>
          <w:szCs w:val="21"/>
          <w:lang w:val="en-US"/>
        </w:rPr>
        <w:br/>
        <w:t xml:space="preserve">In order to measure this generation, we have installed special scalar devices. These devices have separate registers to measure the energy generated (export) and the energy received (import) from the National Grid. Both reads will be stored in kWh, but the import is </w:t>
      </w:r>
      <w:proofErr w:type="gramStart"/>
      <w:r w:rsidRPr="00541FE8">
        <w:rPr>
          <w:rFonts w:ascii="Arial" w:eastAsia="Times New Roman" w:hAnsi="Arial" w:cs="Arial"/>
          <w:b/>
          <w:bCs/>
          <w:color w:val="555555"/>
          <w:sz w:val="21"/>
          <w:szCs w:val="21"/>
          <w:lang w:val="en-US"/>
        </w:rPr>
        <w:t>subtractive</w:t>
      </w:r>
      <w:proofErr w:type="gramEnd"/>
      <w:r w:rsidRPr="00541FE8">
        <w:rPr>
          <w:rFonts w:ascii="Arial" w:eastAsia="Times New Roman" w:hAnsi="Arial" w:cs="Arial"/>
          <w:b/>
          <w:bCs/>
          <w:color w:val="555555"/>
          <w:sz w:val="21"/>
          <w:szCs w:val="21"/>
          <w:lang w:val="en-US"/>
        </w:rPr>
        <w:t xml:space="preserve"> and export is consumptive.</w:t>
      </w:r>
      <w:r w:rsidRPr="00541FE8">
        <w:rPr>
          <w:rFonts w:ascii="Arial" w:eastAsia="Times New Roman" w:hAnsi="Arial" w:cs="Arial"/>
          <w:b/>
          <w:bCs/>
          <w:color w:val="555555"/>
          <w:sz w:val="21"/>
          <w:szCs w:val="21"/>
          <w:lang w:val="en-US"/>
        </w:rPr>
        <w:br/>
      </w:r>
      <w:r w:rsidRPr="00541FE8">
        <w:rPr>
          <w:rFonts w:ascii="Arial" w:eastAsia="Times New Roman" w:hAnsi="Arial" w:cs="Arial"/>
          <w:b/>
          <w:bCs/>
          <w:color w:val="555555"/>
          <w:sz w:val="21"/>
          <w:szCs w:val="21"/>
          <w:lang w:val="en-US"/>
        </w:rPr>
        <w:br/>
      </w:r>
      <w:r w:rsidRPr="00541FE8">
        <w:rPr>
          <w:rFonts w:ascii="Arial" w:eastAsia="Times New Roman" w:hAnsi="Arial" w:cs="Arial"/>
          <w:b/>
          <w:bCs/>
          <w:color w:val="555555"/>
          <w:sz w:val="21"/>
          <w:szCs w:val="21"/>
          <w:lang w:val="en-US"/>
        </w:rPr>
        <w:lastRenderedPageBreak/>
        <w:t>What solution should you choose to configure the measuring component types for these specific requirements?</w:t>
      </w:r>
    </w:p>
    <w:p w14:paraId="019A0CD9" w14:textId="77777777" w:rsidR="00541FE8" w:rsidRPr="00541FE8" w:rsidRDefault="00541FE8" w:rsidP="00541FE8">
      <w:pPr>
        <w:numPr>
          <w:ilvl w:val="0"/>
          <w:numId w:val="10"/>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Create two service points: one for subtractive import and the other for consumptive export.</w:t>
      </w:r>
    </w:p>
    <w:p w14:paraId="0DEB8E51" w14:textId="77777777" w:rsidR="00541FE8" w:rsidRPr="00541FE8" w:rsidRDefault="00541FE8" w:rsidP="00541FE8">
      <w:pPr>
        <w:numPr>
          <w:ilvl w:val="0"/>
          <w:numId w:val="10"/>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Create one new measuring component type for creating two measuring components (one for import and the other for export) that will be linked to one scalar device.</w:t>
      </w:r>
    </w:p>
    <w:p w14:paraId="20BF76B8" w14:textId="77777777" w:rsidR="00541FE8" w:rsidRPr="00541FE8" w:rsidRDefault="00541FE8" w:rsidP="00541FE8">
      <w:pPr>
        <w:numPr>
          <w:ilvl w:val="0"/>
          <w:numId w:val="10"/>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Create one new measuring component type for creating a new measuring component that will be linked to two different scalar devices (one for import and the other for export).</w:t>
      </w:r>
    </w:p>
    <w:p w14:paraId="6C3A4626" w14:textId="1AC7E08E" w:rsidR="00541FE8" w:rsidRPr="00541FE8" w:rsidRDefault="00541FE8" w:rsidP="00541FE8">
      <w:pPr>
        <w:numPr>
          <w:ilvl w:val="0"/>
          <w:numId w:val="10"/>
        </w:numPr>
        <w:shd w:val="clear" w:color="auto" w:fill="FFFFFF"/>
        <w:spacing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Create two new measuring component types (one for subtractive import and the other for consumptive export) to enable the creation of two measuring components that will be linked to one scalar device</w:t>
      </w:r>
    </w:p>
    <w:p w14:paraId="12A20513" w14:textId="77777777" w:rsidR="00541FE8" w:rsidRPr="00541FE8" w:rsidRDefault="00541FE8" w:rsidP="00541FE8">
      <w:pPr>
        <w:shd w:val="clear" w:color="auto" w:fill="FFFFFF"/>
        <w:spacing w:after="120" w:line="240" w:lineRule="auto"/>
        <w:rPr>
          <w:rFonts w:ascii="Arial" w:eastAsia="Times New Roman" w:hAnsi="Arial" w:cs="Arial"/>
          <w:b/>
          <w:bCs/>
          <w:color w:val="555555"/>
          <w:sz w:val="21"/>
          <w:szCs w:val="21"/>
          <w:lang w:val="en-US"/>
        </w:rPr>
      </w:pPr>
      <w:r w:rsidRPr="00541FE8">
        <w:rPr>
          <w:rFonts w:ascii="Arial" w:eastAsia="Times New Roman" w:hAnsi="Arial" w:cs="Arial"/>
          <w:b/>
          <w:bCs/>
          <w:color w:val="555555"/>
          <w:sz w:val="21"/>
          <w:szCs w:val="21"/>
          <w:lang w:val="en-US"/>
        </w:rPr>
        <w:t>11. What Service Order activity types does the application include?</w:t>
      </w:r>
    </w:p>
    <w:p w14:paraId="6CA95CED" w14:textId="57349D8B" w:rsidR="00541FE8" w:rsidRPr="00541FE8" w:rsidRDefault="00541FE8" w:rsidP="00541FE8">
      <w:pPr>
        <w:numPr>
          <w:ilvl w:val="0"/>
          <w:numId w:val="11"/>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Start Service; Stop Service; Cut for Non-Payment; Reconnect Service for Payment; Exchange Meter; Move-In/Move-Out Service</w:t>
      </w:r>
    </w:p>
    <w:p w14:paraId="385EE4B0" w14:textId="1106BC7E" w:rsidR="00541FE8" w:rsidRPr="00541FE8" w:rsidRDefault="00541FE8" w:rsidP="00541FE8">
      <w:pPr>
        <w:numPr>
          <w:ilvl w:val="0"/>
          <w:numId w:val="11"/>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Start Service; Stop Service; Install Meter; Remove Meter; Exchange Meter; Move-In/Move-Out Service</w:t>
      </w:r>
    </w:p>
    <w:p w14:paraId="2B77FFB1" w14:textId="77777777" w:rsidR="00541FE8" w:rsidRPr="00541FE8" w:rsidRDefault="00541FE8" w:rsidP="00541FE8">
      <w:pPr>
        <w:numPr>
          <w:ilvl w:val="0"/>
          <w:numId w:val="11"/>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Enable Service; Disable Service; Install Meter; Remove Meter; Exchange Meter; Back-to-Back Service</w:t>
      </w:r>
    </w:p>
    <w:p w14:paraId="3598F547" w14:textId="784B1C28" w:rsidR="00541FE8" w:rsidRPr="00541FE8" w:rsidRDefault="00541FE8" w:rsidP="00541FE8">
      <w:pPr>
        <w:numPr>
          <w:ilvl w:val="0"/>
          <w:numId w:val="11"/>
        </w:numPr>
        <w:shd w:val="clear" w:color="auto" w:fill="FFFFFF"/>
        <w:spacing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Enable Service; Disable Service; Cut for Non-Payment; Reconnect Service for Payment; Exchange Meter; Back-to-Back Service</w:t>
      </w:r>
    </w:p>
    <w:p w14:paraId="480685AD" w14:textId="77777777" w:rsidR="00541FE8" w:rsidRPr="00541FE8" w:rsidRDefault="00541FE8" w:rsidP="00541FE8">
      <w:pPr>
        <w:shd w:val="clear" w:color="auto" w:fill="FFFFFF"/>
        <w:spacing w:after="0" w:line="240" w:lineRule="auto"/>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Explanation:</w:t>
      </w:r>
    </w:p>
    <w:p w14:paraId="512475CA" w14:textId="18262FB7" w:rsidR="00541FE8" w:rsidRPr="00541FE8" w:rsidRDefault="00541FE8" w:rsidP="00541FE8">
      <w:pPr>
        <w:shd w:val="clear" w:color="auto" w:fill="FFFFFF"/>
        <w:spacing w:after="300" w:line="240" w:lineRule="auto"/>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 xml:space="preserve">Reference: </w:t>
      </w:r>
      <w:hyperlink r:id="rId8" w:history="1">
        <w:r w:rsidR="00E2542E" w:rsidRPr="00541FE8">
          <w:rPr>
            <w:rStyle w:val="Hyperlink"/>
            <w:rFonts w:ascii="Arial" w:eastAsia="Times New Roman" w:hAnsi="Arial" w:cs="Arial"/>
            <w:sz w:val="21"/>
            <w:szCs w:val="21"/>
            <w:lang w:val="en-US"/>
          </w:rPr>
          <w:t>https://docs.oracle.com/cd/E91711_01/PDF/MDM-SGG_Business_User_Guide_v2_2_0_2.pdf</w:t>
        </w:r>
      </w:hyperlink>
      <w:r w:rsidR="00E2542E">
        <w:rPr>
          <w:rFonts w:ascii="Arial" w:eastAsia="Times New Roman" w:hAnsi="Arial" w:cs="Arial"/>
          <w:color w:val="555555"/>
          <w:sz w:val="21"/>
          <w:szCs w:val="21"/>
          <w:lang w:val="en-US"/>
        </w:rPr>
        <w:t xml:space="preserve"> </w:t>
      </w:r>
      <w:r w:rsidRPr="00541FE8">
        <w:rPr>
          <w:rFonts w:ascii="Arial" w:eastAsia="Times New Roman" w:hAnsi="Arial" w:cs="Arial"/>
          <w:color w:val="555555"/>
          <w:sz w:val="21"/>
          <w:szCs w:val="21"/>
          <w:lang w:val="en-US"/>
        </w:rPr>
        <w:t>(162)</w:t>
      </w:r>
    </w:p>
    <w:p w14:paraId="7EC7B7D2" w14:textId="77777777" w:rsidR="00541FE8" w:rsidRPr="00541FE8" w:rsidRDefault="00541FE8" w:rsidP="00541FE8">
      <w:pPr>
        <w:shd w:val="clear" w:color="auto" w:fill="FFFFFF"/>
        <w:spacing w:after="120" w:line="240" w:lineRule="auto"/>
        <w:rPr>
          <w:rFonts w:ascii="Arial" w:eastAsia="Times New Roman" w:hAnsi="Arial" w:cs="Arial"/>
          <w:b/>
          <w:bCs/>
          <w:color w:val="555555"/>
          <w:sz w:val="21"/>
          <w:szCs w:val="21"/>
          <w:lang w:val="en-US"/>
        </w:rPr>
      </w:pPr>
      <w:r w:rsidRPr="00541FE8">
        <w:rPr>
          <w:rFonts w:ascii="Arial" w:eastAsia="Times New Roman" w:hAnsi="Arial" w:cs="Arial"/>
          <w:b/>
          <w:bCs/>
          <w:color w:val="555555"/>
          <w:sz w:val="21"/>
          <w:szCs w:val="21"/>
          <w:lang w:val="en-US"/>
        </w:rPr>
        <w:t>12. When configuring the Get Scalar Details usage rule, which three attributes can be defined to retrieve scalar values? (Choose three.)</w:t>
      </w:r>
    </w:p>
    <w:p w14:paraId="4EE3F3A4" w14:textId="0ED8A543" w:rsidR="00541FE8" w:rsidRPr="00541FE8" w:rsidRDefault="00541FE8" w:rsidP="00541FE8">
      <w:pPr>
        <w:numPr>
          <w:ilvl w:val="0"/>
          <w:numId w:val="12"/>
        </w:numPr>
        <w:shd w:val="clear" w:color="auto" w:fill="FFFFFF"/>
        <w:spacing w:after="0"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Unit of Measure</w:t>
      </w:r>
    </w:p>
    <w:p w14:paraId="1A06BA44" w14:textId="14BF3C41" w:rsidR="00541FE8" w:rsidRPr="00541FE8" w:rsidRDefault="00541FE8" w:rsidP="00541FE8">
      <w:pPr>
        <w:numPr>
          <w:ilvl w:val="0"/>
          <w:numId w:val="12"/>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Device ID</w:t>
      </w:r>
    </w:p>
    <w:p w14:paraId="0F247475" w14:textId="3BC4FADC" w:rsidR="00541FE8" w:rsidRPr="00541FE8" w:rsidRDefault="00541FE8" w:rsidP="00541FE8">
      <w:pPr>
        <w:numPr>
          <w:ilvl w:val="0"/>
          <w:numId w:val="12"/>
        </w:numPr>
        <w:shd w:val="clear" w:color="auto" w:fill="FFFFFF"/>
        <w:spacing w:after="0"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Service Quantity Identifier</w:t>
      </w:r>
      <w:r w:rsidR="00F23019">
        <w:rPr>
          <w:rFonts w:ascii="Arial" w:eastAsia="Times New Roman" w:hAnsi="Arial" w:cs="Arial"/>
          <w:b/>
          <w:bCs/>
          <w:color w:val="0000FF"/>
          <w:sz w:val="21"/>
          <w:szCs w:val="21"/>
          <w:lang w:val="en-US"/>
        </w:rPr>
        <w:t xml:space="preserve"> </w:t>
      </w:r>
    </w:p>
    <w:p w14:paraId="0494775C" w14:textId="2848BEED" w:rsidR="00541FE8" w:rsidRPr="00541FE8" w:rsidRDefault="00541FE8" w:rsidP="00541FE8">
      <w:pPr>
        <w:numPr>
          <w:ilvl w:val="0"/>
          <w:numId w:val="12"/>
        </w:numPr>
        <w:shd w:val="clear" w:color="auto" w:fill="FFFFFF"/>
        <w:spacing w:after="0"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Time of Use</w:t>
      </w:r>
      <w:r w:rsidR="00F23019">
        <w:rPr>
          <w:rFonts w:ascii="Arial" w:eastAsia="Times New Roman" w:hAnsi="Arial" w:cs="Arial"/>
          <w:b/>
          <w:bCs/>
          <w:color w:val="0000FF"/>
          <w:sz w:val="21"/>
          <w:szCs w:val="21"/>
          <w:lang w:val="en-US"/>
        </w:rPr>
        <w:t xml:space="preserve"> </w:t>
      </w:r>
    </w:p>
    <w:p w14:paraId="4EB3C981" w14:textId="66CDE199" w:rsidR="00541FE8" w:rsidRPr="00541FE8" w:rsidRDefault="00541FE8" w:rsidP="00541FE8">
      <w:pPr>
        <w:numPr>
          <w:ilvl w:val="0"/>
          <w:numId w:val="12"/>
        </w:numPr>
        <w:shd w:val="clear" w:color="auto" w:fill="FFFFFF"/>
        <w:spacing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Service Point ID</w:t>
      </w:r>
    </w:p>
    <w:p w14:paraId="624645D5" w14:textId="77777777" w:rsidR="00541FE8" w:rsidRPr="00541FE8" w:rsidRDefault="00541FE8" w:rsidP="00541FE8">
      <w:pPr>
        <w:shd w:val="clear" w:color="auto" w:fill="FFFFFF"/>
        <w:spacing w:after="120" w:line="240" w:lineRule="auto"/>
        <w:rPr>
          <w:rFonts w:ascii="Arial" w:eastAsia="Times New Roman" w:hAnsi="Arial" w:cs="Arial"/>
          <w:b/>
          <w:bCs/>
          <w:color w:val="555555"/>
          <w:sz w:val="21"/>
          <w:szCs w:val="21"/>
          <w:lang w:val="en-US"/>
        </w:rPr>
      </w:pPr>
      <w:r w:rsidRPr="00541FE8">
        <w:rPr>
          <w:rFonts w:ascii="Arial" w:eastAsia="Times New Roman" w:hAnsi="Arial" w:cs="Arial"/>
          <w:b/>
          <w:bCs/>
          <w:color w:val="555555"/>
          <w:sz w:val="21"/>
          <w:szCs w:val="21"/>
          <w:lang w:val="en-US"/>
        </w:rPr>
        <w:t>13. Which two plug-in spots can call the rating functionality using base package-supplied algorithm types? (Choose two.)</w:t>
      </w:r>
    </w:p>
    <w:p w14:paraId="3CF1F2C4" w14:textId="42E426BC" w:rsidR="00541FE8" w:rsidRPr="00541FE8" w:rsidRDefault="00541FE8" w:rsidP="00541FE8">
      <w:pPr>
        <w:numPr>
          <w:ilvl w:val="0"/>
          <w:numId w:val="13"/>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Adjustment Type - Adjustment FT Creation</w:t>
      </w:r>
    </w:p>
    <w:p w14:paraId="28FB22BF" w14:textId="77777777" w:rsidR="00541FE8" w:rsidRPr="00541FE8" w:rsidRDefault="00541FE8" w:rsidP="00541FE8">
      <w:pPr>
        <w:numPr>
          <w:ilvl w:val="0"/>
          <w:numId w:val="13"/>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Billable Charge Template</w:t>
      </w:r>
    </w:p>
    <w:p w14:paraId="4570AF2F" w14:textId="7F28D1E1" w:rsidR="00541FE8" w:rsidRPr="00541FE8" w:rsidRDefault="00541FE8" w:rsidP="00541FE8">
      <w:pPr>
        <w:numPr>
          <w:ilvl w:val="0"/>
          <w:numId w:val="13"/>
        </w:numPr>
        <w:shd w:val="clear" w:color="auto" w:fill="FFFFFF"/>
        <w:spacing w:after="0"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Bill Segment Type - Bill Segment Create</w:t>
      </w:r>
    </w:p>
    <w:p w14:paraId="0EFD87F4" w14:textId="22392762" w:rsidR="00541FE8" w:rsidRPr="00541FE8" w:rsidRDefault="00541FE8" w:rsidP="00541FE8">
      <w:pPr>
        <w:numPr>
          <w:ilvl w:val="0"/>
          <w:numId w:val="13"/>
        </w:numPr>
        <w:shd w:val="clear" w:color="auto" w:fill="FFFFFF"/>
        <w:spacing w:after="0"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 xml:space="preserve">Adjustment Type </w:t>
      </w:r>
      <w:r w:rsidR="00F23019">
        <w:rPr>
          <w:rFonts w:ascii="Arial" w:eastAsia="Times New Roman" w:hAnsi="Arial" w:cs="Arial"/>
          <w:b/>
          <w:bCs/>
          <w:color w:val="0000FF"/>
          <w:sz w:val="21"/>
          <w:szCs w:val="21"/>
          <w:lang w:val="en-US"/>
        </w:rPr>
        <w:t>–</w:t>
      </w:r>
      <w:r w:rsidRPr="00541FE8">
        <w:rPr>
          <w:rFonts w:ascii="Arial" w:eastAsia="Times New Roman" w:hAnsi="Arial" w:cs="Arial"/>
          <w:b/>
          <w:bCs/>
          <w:color w:val="0000FF"/>
          <w:sz w:val="21"/>
          <w:szCs w:val="21"/>
          <w:lang w:val="en-US"/>
        </w:rPr>
        <w:t xml:space="preserve"> Generate</w:t>
      </w:r>
    </w:p>
    <w:p w14:paraId="2F554201" w14:textId="2577F387" w:rsidR="00541FE8" w:rsidRPr="00541FE8" w:rsidRDefault="00541FE8" w:rsidP="00541FE8">
      <w:pPr>
        <w:numPr>
          <w:ilvl w:val="0"/>
          <w:numId w:val="13"/>
        </w:numPr>
        <w:shd w:val="clear" w:color="auto" w:fill="FFFFFF"/>
        <w:spacing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Bill Segment Type - Bill Segment FT Creation</w:t>
      </w:r>
    </w:p>
    <w:p w14:paraId="74D1FA33" w14:textId="77777777" w:rsidR="00541FE8" w:rsidRPr="00541FE8" w:rsidRDefault="00541FE8" w:rsidP="00541FE8">
      <w:pPr>
        <w:shd w:val="clear" w:color="auto" w:fill="FFFFFF"/>
        <w:spacing w:after="120" w:line="240" w:lineRule="auto"/>
        <w:rPr>
          <w:rFonts w:ascii="Arial" w:eastAsia="Times New Roman" w:hAnsi="Arial" w:cs="Arial"/>
          <w:b/>
          <w:bCs/>
          <w:color w:val="555555"/>
          <w:sz w:val="21"/>
          <w:szCs w:val="21"/>
          <w:lang w:val="en-US"/>
        </w:rPr>
      </w:pPr>
      <w:r w:rsidRPr="00541FE8">
        <w:rPr>
          <w:rFonts w:ascii="Arial" w:eastAsia="Times New Roman" w:hAnsi="Arial" w:cs="Arial"/>
          <w:b/>
          <w:bCs/>
          <w:color w:val="555555"/>
          <w:sz w:val="21"/>
          <w:szCs w:val="21"/>
          <w:lang w:val="en-US"/>
        </w:rPr>
        <w:t>14. If a customer makes a payment for more than what is due for the account, which entity contains the logic for how this overpayment should be handled?</w:t>
      </w:r>
    </w:p>
    <w:p w14:paraId="36786E90" w14:textId="77777777" w:rsidR="00541FE8" w:rsidRPr="00541FE8" w:rsidRDefault="00541FE8" w:rsidP="00541FE8">
      <w:pPr>
        <w:numPr>
          <w:ilvl w:val="0"/>
          <w:numId w:val="14"/>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 xml:space="preserve">Tender </w:t>
      </w:r>
      <w:proofErr w:type="spellStart"/>
      <w:r w:rsidRPr="00541FE8">
        <w:rPr>
          <w:rFonts w:ascii="Arial" w:eastAsia="Times New Roman" w:hAnsi="Arial" w:cs="Arial"/>
          <w:color w:val="555555"/>
          <w:sz w:val="21"/>
          <w:szCs w:val="21"/>
          <w:lang w:val="en-US"/>
        </w:rPr>
        <w:t>Type</w:t>
      </w:r>
      <w:r w:rsidRPr="00541FE8">
        <w:rPr>
          <w:rFonts w:ascii="Arial" w:eastAsia="Times New Roman" w:hAnsi="Arial" w:cs="Arial"/>
          <w:color w:val="555555"/>
          <w:sz w:val="21"/>
          <w:szCs w:val="21"/>
          <w:bdr w:val="none" w:sz="0" w:space="0" w:color="auto" w:frame="1"/>
          <w:lang w:val="en-US"/>
        </w:rPr>
        <w:t>correct</w:t>
      </w:r>
      <w:proofErr w:type="spellEnd"/>
    </w:p>
    <w:p w14:paraId="453663DA" w14:textId="5AF1610A" w:rsidR="00541FE8" w:rsidRPr="00541FE8" w:rsidRDefault="00541FE8" w:rsidP="00541FE8">
      <w:pPr>
        <w:numPr>
          <w:ilvl w:val="0"/>
          <w:numId w:val="14"/>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Installation Options</w:t>
      </w:r>
    </w:p>
    <w:p w14:paraId="52A17E5B" w14:textId="3BDD9602" w:rsidR="00541FE8" w:rsidRPr="00541FE8" w:rsidRDefault="00541FE8" w:rsidP="00541FE8">
      <w:pPr>
        <w:numPr>
          <w:ilvl w:val="0"/>
          <w:numId w:val="14"/>
        </w:numPr>
        <w:shd w:val="clear" w:color="auto" w:fill="FFFFFF"/>
        <w:spacing w:after="0"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Customer Class</w:t>
      </w:r>
      <w:r w:rsidR="00F23019">
        <w:rPr>
          <w:rFonts w:ascii="Arial" w:eastAsia="Times New Roman" w:hAnsi="Arial" w:cs="Arial"/>
          <w:b/>
          <w:bCs/>
          <w:color w:val="0000FF"/>
          <w:sz w:val="21"/>
          <w:szCs w:val="21"/>
          <w:lang w:val="en-US"/>
        </w:rPr>
        <w:t xml:space="preserve"> </w:t>
      </w:r>
      <w:r w:rsidRPr="00541FE8">
        <w:rPr>
          <w:rFonts w:ascii="Arial" w:eastAsia="Times New Roman" w:hAnsi="Arial" w:cs="Arial"/>
          <w:color w:val="0000FF"/>
          <w:sz w:val="21"/>
          <w:szCs w:val="21"/>
          <w:bdr w:val="none" w:sz="0" w:space="0" w:color="auto" w:frame="1"/>
          <w:lang w:val="en-US"/>
        </w:rPr>
        <w:t>correct</w:t>
      </w:r>
    </w:p>
    <w:p w14:paraId="187952EF" w14:textId="77777777" w:rsidR="00541FE8" w:rsidRPr="00541FE8" w:rsidRDefault="00541FE8" w:rsidP="00541FE8">
      <w:pPr>
        <w:numPr>
          <w:ilvl w:val="0"/>
          <w:numId w:val="14"/>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Pay Segment Type</w:t>
      </w:r>
    </w:p>
    <w:p w14:paraId="016F678E" w14:textId="4B489DE1" w:rsidR="00541FE8" w:rsidRPr="00541FE8" w:rsidRDefault="00541FE8" w:rsidP="00541FE8">
      <w:pPr>
        <w:numPr>
          <w:ilvl w:val="0"/>
          <w:numId w:val="14"/>
        </w:numPr>
        <w:shd w:val="clear" w:color="auto" w:fill="FFFFFF"/>
        <w:spacing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Service Agreement Type</w:t>
      </w:r>
    </w:p>
    <w:p w14:paraId="29E46610" w14:textId="77777777" w:rsidR="00541FE8" w:rsidRPr="00541FE8" w:rsidRDefault="00541FE8" w:rsidP="00541FE8">
      <w:pPr>
        <w:shd w:val="clear" w:color="auto" w:fill="FFFFFF"/>
        <w:spacing w:after="0" w:line="240" w:lineRule="auto"/>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Explanation:</w:t>
      </w:r>
    </w:p>
    <w:p w14:paraId="3A2C457C" w14:textId="77777777" w:rsidR="00541FE8" w:rsidRPr="00541FE8" w:rsidRDefault="00541FE8" w:rsidP="00541FE8">
      <w:pPr>
        <w:shd w:val="clear" w:color="auto" w:fill="FFFFFF"/>
        <w:spacing w:after="300" w:line="240" w:lineRule="auto"/>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Reference: https://docs.oracle.com/cd/E18733_01/pdf/E18368_V1_01.pdf</w:t>
      </w:r>
    </w:p>
    <w:p w14:paraId="4F728AF0" w14:textId="77777777" w:rsidR="00541FE8" w:rsidRPr="00541FE8" w:rsidRDefault="00541FE8" w:rsidP="00541FE8">
      <w:pPr>
        <w:shd w:val="clear" w:color="auto" w:fill="FFFFFF"/>
        <w:spacing w:after="120" w:line="240" w:lineRule="auto"/>
        <w:rPr>
          <w:rFonts w:ascii="Arial" w:eastAsia="Times New Roman" w:hAnsi="Arial" w:cs="Arial"/>
          <w:b/>
          <w:bCs/>
          <w:color w:val="555555"/>
          <w:sz w:val="21"/>
          <w:szCs w:val="21"/>
          <w:lang w:val="en-US"/>
        </w:rPr>
      </w:pPr>
      <w:r w:rsidRPr="00541FE8">
        <w:rPr>
          <w:rFonts w:ascii="Arial" w:eastAsia="Times New Roman" w:hAnsi="Arial" w:cs="Arial"/>
          <w:b/>
          <w:bCs/>
          <w:color w:val="555555"/>
          <w:sz w:val="21"/>
          <w:szCs w:val="21"/>
          <w:lang w:val="en-US"/>
        </w:rPr>
        <w:t>15. How many bill segment-related financial transactions do pay plans have?</w:t>
      </w:r>
    </w:p>
    <w:p w14:paraId="7848F618" w14:textId="77777777" w:rsidR="00541FE8" w:rsidRPr="00541FE8" w:rsidRDefault="00541FE8" w:rsidP="00541FE8">
      <w:pPr>
        <w:numPr>
          <w:ilvl w:val="0"/>
          <w:numId w:val="15"/>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depends on the number of payments that is part of the pay plan</w:t>
      </w:r>
    </w:p>
    <w:p w14:paraId="2215FFEA" w14:textId="77777777" w:rsidR="00541FE8" w:rsidRPr="00541FE8" w:rsidRDefault="00541FE8" w:rsidP="00541FE8">
      <w:pPr>
        <w:numPr>
          <w:ilvl w:val="0"/>
          <w:numId w:val="15"/>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one</w:t>
      </w:r>
    </w:p>
    <w:p w14:paraId="41077DF6" w14:textId="4115533D" w:rsidR="00541FE8" w:rsidRPr="00541FE8" w:rsidRDefault="00541FE8" w:rsidP="00541FE8">
      <w:pPr>
        <w:numPr>
          <w:ilvl w:val="0"/>
          <w:numId w:val="15"/>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depends on the number of bills that will contain the customer’s pay plan commitments</w:t>
      </w:r>
    </w:p>
    <w:p w14:paraId="57782AEB" w14:textId="68991CDA" w:rsidR="00541FE8" w:rsidRPr="00541FE8" w:rsidRDefault="00541FE8" w:rsidP="00541FE8">
      <w:pPr>
        <w:numPr>
          <w:ilvl w:val="0"/>
          <w:numId w:val="15"/>
        </w:numPr>
        <w:shd w:val="clear" w:color="auto" w:fill="FFFFFF"/>
        <w:spacing w:after="0"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lastRenderedPageBreak/>
        <w:t>none</w:t>
      </w:r>
    </w:p>
    <w:p w14:paraId="3813706F" w14:textId="77777777" w:rsidR="00541FE8" w:rsidRPr="00541FE8" w:rsidRDefault="00541FE8" w:rsidP="00541FE8">
      <w:pPr>
        <w:numPr>
          <w:ilvl w:val="0"/>
          <w:numId w:val="15"/>
        </w:numPr>
        <w:shd w:val="clear" w:color="auto" w:fill="FFFFFF"/>
        <w:spacing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unlimited</w:t>
      </w:r>
    </w:p>
    <w:p w14:paraId="5CCD1DDA" w14:textId="77777777" w:rsidR="00541FE8" w:rsidRPr="00541FE8" w:rsidRDefault="00541FE8" w:rsidP="00541FE8">
      <w:pPr>
        <w:shd w:val="clear" w:color="auto" w:fill="FFFFFF"/>
        <w:spacing w:after="120" w:line="240" w:lineRule="auto"/>
        <w:rPr>
          <w:rFonts w:ascii="Arial" w:eastAsia="Times New Roman" w:hAnsi="Arial" w:cs="Arial"/>
          <w:b/>
          <w:bCs/>
          <w:color w:val="555555"/>
          <w:sz w:val="21"/>
          <w:szCs w:val="21"/>
          <w:lang w:val="en-US"/>
        </w:rPr>
      </w:pPr>
      <w:r w:rsidRPr="00541FE8">
        <w:rPr>
          <w:rFonts w:ascii="Arial" w:eastAsia="Times New Roman" w:hAnsi="Arial" w:cs="Arial"/>
          <w:b/>
          <w:bCs/>
          <w:color w:val="555555"/>
          <w:sz w:val="21"/>
          <w:szCs w:val="21"/>
          <w:lang w:val="en-US"/>
        </w:rPr>
        <w:t>16. Which statement supports usage transaction calculation?</w:t>
      </w:r>
    </w:p>
    <w:p w14:paraId="43FF11A2" w14:textId="77777777" w:rsidR="00541FE8" w:rsidRPr="00541FE8" w:rsidRDefault="00541FE8" w:rsidP="00541FE8">
      <w:pPr>
        <w:numPr>
          <w:ilvl w:val="0"/>
          <w:numId w:val="16"/>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Bill determinants are derived from the final measurements for only interval measuring components or devices installed at the usage subscription’s service points during the calculation period.</w:t>
      </w:r>
    </w:p>
    <w:p w14:paraId="2B543ABC" w14:textId="77777777" w:rsidR="00541FE8" w:rsidRPr="00541FE8" w:rsidRDefault="00541FE8" w:rsidP="00541FE8">
      <w:pPr>
        <w:numPr>
          <w:ilvl w:val="0"/>
          <w:numId w:val="16"/>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Bill determinants are derived from the initial measurement data of the measuring components devices installed at the usage subscription’s service points during calculation period.</w:t>
      </w:r>
    </w:p>
    <w:p w14:paraId="595E11B1" w14:textId="0A04B820" w:rsidR="00541FE8" w:rsidRPr="00541FE8" w:rsidRDefault="00541FE8" w:rsidP="00541FE8">
      <w:pPr>
        <w:numPr>
          <w:ilvl w:val="0"/>
          <w:numId w:val="16"/>
        </w:numPr>
        <w:shd w:val="clear" w:color="auto" w:fill="FFFFFF"/>
        <w:spacing w:after="0"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Bill determinants are derived from the final measurements of the measuring components or devices installed at the usage subscription’s service points during the calculation period.</w:t>
      </w:r>
    </w:p>
    <w:p w14:paraId="08D99383" w14:textId="77777777" w:rsidR="00541FE8" w:rsidRPr="00541FE8" w:rsidRDefault="00541FE8" w:rsidP="00541FE8">
      <w:pPr>
        <w:numPr>
          <w:ilvl w:val="0"/>
          <w:numId w:val="16"/>
        </w:numPr>
        <w:shd w:val="clear" w:color="auto" w:fill="FFFFFF"/>
        <w:spacing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Bill determinants are derived from the initial measurement data of the measuring components installed at the usage subscription’s devices during the calculation period.</w:t>
      </w:r>
    </w:p>
    <w:p w14:paraId="1DFCC4C2" w14:textId="77777777" w:rsidR="00541FE8" w:rsidRPr="00541FE8" w:rsidRDefault="00541FE8" w:rsidP="00541FE8">
      <w:pPr>
        <w:shd w:val="clear" w:color="auto" w:fill="FFFFFF"/>
        <w:spacing w:after="120" w:line="240" w:lineRule="auto"/>
        <w:rPr>
          <w:rFonts w:ascii="Arial" w:eastAsia="Times New Roman" w:hAnsi="Arial" w:cs="Arial"/>
          <w:b/>
          <w:bCs/>
          <w:color w:val="555555"/>
          <w:sz w:val="21"/>
          <w:szCs w:val="21"/>
          <w:lang w:val="en-US"/>
        </w:rPr>
      </w:pPr>
      <w:r w:rsidRPr="00541FE8">
        <w:rPr>
          <w:rFonts w:ascii="Arial" w:eastAsia="Times New Roman" w:hAnsi="Arial" w:cs="Arial"/>
          <w:b/>
          <w:bCs/>
          <w:color w:val="555555"/>
          <w:sz w:val="21"/>
          <w:szCs w:val="21"/>
          <w:lang w:val="en-US"/>
        </w:rPr>
        <w:t>17. How do you ensure that specific Validation, Editing, and Estimation (VEE) rules are applied to estimated measurements?</w:t>
      </w:r>
    </w:p>
    <w:p w14:paraId="05151ADA" w14:textId="77777777" w:rsidR="00541FE8" w:rsidRPr="00541FE8" w:rsidRDefault="00541FE8" w:rsidP="00541FE8">
      <w:pPr>
        <w:numPr>
          <w:ilvl w:val="0"/>
          <w:numId w:val="17"/>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by adding the VEE Group to the Device Configuration Type</w:t>
      </w:r>
    </w:p>
    <w:p w14:paraId="15B3BE8B" w14:textId="5E77CB31" w:rsidR="00541FE8" w:rsidRPr="00541FE8" w:rsidRDefault="00541FE8" w:rsidP="00541FE8">
      <w:pPr>
        <w:numPr>
          <w:ilvl w:val="0"/>
          <w:numId w:val="17"/>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by adding the estimation rules to the Manual Override VEE Group to the Measuring Component Type</w:t>
      </w:r>
    </w:p>
    <w:p w14:paraId="2BA18774" w14:textId="77777777" w:rsidR="00541FE8" w:rsidRPr="00541FE8" w:rsidRDefault="00541FE8" w:rsidP="00541FE8">
      <w:pPr>
        <w:numPr>
          <w:ilvl w:val="0"/>
          <w:numId w:val="17"/>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by adding the VEE Group to the Device Type</w:t>
      </w:r>
    </w:p>
    <w:p w14:paraId="6ED64661" w14:textId="5440C00D" w:rsidR="00541FE8" w:rsidRDefault="00541FE8" w:rsidP="00A40C77">
      <w:pPr>
        <w:numPr>
          <w:ilvl w:val="0"/>
          <w:numId w:val="17"/>
        </w:numPr>
        <w:shd w:val="clear" w:color="auto" w:fill="FFFFFF"/>
        <w:spacing w:after="0" w:line="240" w:lineRule="auto"/>
        <w:ind w:left="0"/>
        <w:textAlignment w:val="top"/>
        <w:rPr>
          <w:rFonts w:ascii="Arial" w:eastAsia="Times New Roman" w:hAnsi="Arial" w:cs="Arial"/>
          <w:b/>
          <w:bCs/>
          <w:color w:val="0000FF"/>
          <w:sz w:val="21"/>
          <w:szCs w:val="21"/>
          <w:lang w:val="en-US"/>
        </w:rPr>
      </w:pPr>
      <w:r w:rsidRPr="00541FE8">
        <w:rPr>
          <w:rFonts w:ascii="Arial" w:eastAsia="Times New Roman" w:hAnsi="Arial" w:cs="Arial"/>
          <w:b/>
          <w:bCs/>
          <w:color w:val="0000FF"/>
          <w:sz w:val="21"/>
          <w:szCs w:val="21"/>
          <w:lang w:val="en-US"/>
        </w:rPr>
        <w:t>by adding the VEE Group as the Fallback VEE Group for the appropriate VEE role</w:t>
      </w:r>
    </w:p>
    <w:p w14:paraId="5314A43D" w14:textId="77777777" w:rsidR="00A40C77" w:rsidRPr="00541FE8" w:rsidRDefault="00A40C77" w:rsidP="00A40C77">
      <w:pPr>
        <w:shd w:val="clear" w:color="auto" w:fill="FFFFFF"/>
        <w:spacing w:after="0" w:line="240" w:lineRule="auto"/>
        <w:textAlignment w:val="top"/>
        <w:rPr>
          <w:rFonts w:ascii="Arial" w:eastAsia="Times New Roman" w:hAnsi="Arial" w:cs="Arial"/>
          <w:b/>
          <w:bCs/>
          <w:color w:val="0000FF"/>
          <w:sz w:val="21"/>
          <w:szCs w:val="21"/>
          <w:lang w:val="en-US"/>
        </w:rPr>
      </w:pPr>
    </w:p>
    <w:p w14:paraId="2D56DDE4" w14:textId="77777777" w:rsidR="00541FE8" w:rsidRPr="00541FE8" w:rsidRDefault="00541FE8" w:rsidP="00541FE8">
      <w:pPr>
        <w:shd w:val="clear" w:color="auto" w:fill="FFFFFF"/>
        <w:spacing w:after="120" w:line="240" w:lineRule="auto"/>
        <w:rPr>
          <w:rFonts w:ascii="Arial" w:eastAsia="Times New Roman" w:hAnsi="Arial" w:cs="Arial"/>
          <w:b/>
          <w:bCs/>
          <w:color w:val="555555"/>
          <w:sz w:val="21"/>
          <w:szCs w:val="21"/>
          <w:lang w:val="en-US"/>
        </w:rPr>
      </w:pPr>
      <w:r w:rsidRPr="00541FE8">
        <w:rPr>
          <w:rFonts w:ascii="Arial" w:eastAsia="Times New Roman" w:hAnsi="Arial" w:cs="Arial"/>
          <w:b/>
          <w:bCs/>
          <w:color w:val="555555"/>
          <w:sz w:val="21"/>
          <w:szCs w:val="21"/>
          <w:lang w:val="en-US"/>
        </w:rPr>
        <w:t>18. For a customer to receive a Subscription communication, what must they have?</w:t>
      </w:r>
    </w:p>
    <w:p w14:paraId="788B47F8" w14:textId="77777777" w:rsidR="00541FE8" w:rsidRPr="00541FE8" w:rsidRDefault="00541FE8" w:rsidP="00541FE8">
      <w:pPr>
        <w:numPr>
          <w:ilvl w:val="0"/>
          <w:numId w:val="18"/>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an active address contact preference</w:t>
      </w:r>
    </w:p>
    <w:p w14:paraId="1254F4A0" w14:textId="77777777" w:rsidR="00541FE8" w:rsidRPr="00541FE8" w:rsidRDefault="00541FE8" w:rsidP="00541FE8">
      <w:pPr>
        <w:numPr>
          <w:ilvl w:val="0"/>
          <w:numId w:val="18"/>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an active address type preference</w:t>
      </w:r>
    </w:p>
    <w:p w14:paraId="60395798" w14:textId="77777777" w:rsidR="00541FE8" w:rsidRPr="00541FE8" w:rsidRDefault="00541FE8" w:rsidP="00541FE8">
      <w:pPr>
        <w:numPr>
          <w:ilvl w:val="0"/>
          <w:numId w:val="18"/>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an active person contact preference</w:t>
      </w:r>
    </w:p>
    <w:p w14:paraId="12E24846" w14:textId="5F810AFC" w:rsidR="00541FE8" w:rsidRPr="00541FE8" w:rsidRDefault="00541FE8" w:rsidP="00541FE8">
      <w:pPr>
        <w:numPr>
          <w:ilvl w:val="0"/>
          <w:numId w:val="18"/>
        </w:numPr>
        <w:shd w:val="clear" w:color="auto" w:fill="FFFFFF"/>
        <w:spacing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an active account contact preference</w:t>
      </w:r>
    </w:p>
    <w:p w14:paraId="0DFB680B" w14:textId="77777777" w:rsidR="00541FE8" w:rsidRPr="00541FE8" w:rsidRDefault="00541FE8" w:rsidP="00541FE8">
      <w:pPr>
        <w:shd w:val="clear" w:color="auto" w:fill="FFFFFF"/>
        <w:spacing w:after="120" w:line="240" w:lineRule="auto"/>
        <w:rPr>
          <w:rFonts w:ascii="Arial" w:eastAsia="Times New Roman" w:hAnsi="Arial" w:cs="Arial"/>
          <w:b/>
          <w:bCs/>
          <w:color w:val="555555"/>
          <w:sz w:val="21"/>
          <w:szCs w:val="21"/>
          <w:lang w:val="en-US"/>
        </w:rPr>
      </w:pPr>
      <w:r w:rsidRPr="00541FE8">
        <w:rPr>
          <w:rFonts w:ascii="Arial" w:eastAsia="Times New Roman" w:hAnsi="Arial" w:cs="Arial"/>
          <w:b/>
          <w:bCs/>
          <w:color w:val="555555"/>
          <w:sz w:val="21"/>
          <w:szCs w:val="21"/>
          <w:lang w:val="en-US"/>
        </w:rPr>
        <w:t>19. Which configuration steps are required to derive loss-adjusted kWh on a measuring component based on a loss factor value related to a service point?</w:t>
      </w:r>
    </w:p>
    <w:p w14:paraId="00D333D5" w14:textId="77777777" w:rsidR="00541FE8" w:rsidRPr="00541FE8" w:rsidRDefault="00541FE8" w:rsidP="00541FE8">
      <w:pPr>
        <w:numPr>
          <w:ilvl w:val="0"/>
          <w:numId w:val="19"/>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Configure a Service Point Characteristic Type and derivation algorithm, and then associate the algorithm to the Measuring Component Type and the characteristic value to the service point.</w:t>
      </w:r>
    </w:p>
    <w:p w14:paraId="417830F2" w14:textId="26BA2935" w:rsidR="00541FE8" w:rsidRPr="00541FE8" w:rsidRDefault="00541FE8" w:rsidP="00541FE8">
      <w:pPr>
        <w:numPr>
          <w:ilvl w:val="0"/>
          <w:numId w:val="19"/>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Configure an SQI and the derivation algorithm, and then associate the algorithm to the Measuring Component Type and SQI to the service point.</w:t>
      </w:r>
    </w:p>
    <w:p w14:paraId="3AFA8118" w14:textId="77777777" w:rsidR="00541FE8" w:rsidRPr="00541FE8" w:rsidRDefault="00541FE8" w:rsidP="00541FE8">
      <w:pPr>
        <w:numPr>
          <w:ilvl w:val="0"/>
          <w:numId w:val="19"/>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Configure a factor and derivation algorithm, and then associate the factor to the Measuring Component Type and the derivation algorithm to the service point.</w:t>
      </w:r>
    </w:p>
    <w:p w14:paraId="3737381B" w14:textId="77777777" w:rsidR="00541FE8" w:rsidRPr="00541FE8" w:rsidRDefault="00541FE8" w:rsidP="00541FE8">
      <w:pPr>
        <w:numPr>
          <w:ilvl w:val="0"/>
          <w:numId w:val="19"/>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Configure a factor and derivation algorithm, and then associate both to the Measuring Component Type and service point.</w:t>
      </w:r>
    </w:p>
    <w:p w14:paraId="5C703B19" w14:textId="36CACF8E" w:rsidR="00541FE8" w:rsidRPr="00541FE8" w:rsidRDefault="00541FE8" w:rsidP="00541FE8">
      <w:pPr>
        <w:numPr>
          <w:ilvl w:val="0"/>
          <w:numId w:val="19"/>
        </w:numPr>
        <w:shd w:val="clear" w:color="auto" w:fill="FFFFFF"/>
        <w:spacing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Configure a Service Point Characteristic Type, factor, derivation algorithm, and Service Quantity Identifier (SQI), and then associate the SQI and derivation algorithm to the Measuring Component Type and the characteristic value to the service point</w:t>
      </w:r>
    </w:p>
    <w:p w14:paraId="58981F5F" w14:textId="77777777" w:rsidR="00541FE8" w:rsidRPr="00541FE8" w:rsidRDefault="00541FE8" w:rsidP="00541FE8">
      <w:pPr>
        <w:shd w:val="clear" w:color="auto" w:fill="FFFFFF"/>
        <w:spacing w:after="120" w:line="240" w:lineRule="auto"/>
        <w:rPr>
          <w:rFonts w:ascii="Arial" w:eastAsia="Times New Roman" w:hAnsi="Arial" w:cs="Arial"/>
          <w:b/>
          <w:bCs/>
          <w:color w:val="555555"/>
          <w:sz w:val="21"/>
          <w:szCs w:val="21"/>
          <w:lang w:val="en-US"/>
        </w:rPr>
      </w:pPr>
      <w:r w:rsidRPr="00541FE8">
        <w:rPr>
          <w:rFonts w:ascii="Arial" w:eastAsia="Times New Roman" w:hAnsi="Arial" w:cs="Arial"/>
          <w:b/>
          <w:bCs/>
          <w:color w:val="555555"/>
          <w:sz w:val="21"/>
          <w:szCs w:val="21"/>
          <w:lang w:val="en-US"/>
        </w:rPr>
        <w:t>20. Which entity defines the type of collection process to start based on age of debt, amount of debt, and type of customer?</w:t>
      </w:r>
    </w:p>
    <w:p w14:paraId="5EF871ED" w14:textId="11323FFD" w:rsidR="00541FE8" w:rsidRPr="00541FE8" w:rsidRDefault="00541FE8" w:rsidP="00541FE8">
      <w:pPr>
        <w:numPr>
          <w:ilvl w:val="0"/>
          <w:numId w:val="20"/>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Debt Class</w:t>
      </w:r>
    </w:p>
    <w:p w14:paraId="7C3778F2" w14:textId="3417ECB3" w:rsidR="00541FE8" w:rsidRPr="00541FE8" w:rsidRDefault="00541FE8" w:rsidP="00541FE8">
      <w:pPr>
        <w:numPr>
          <w:ilvl w:val="0"/>
          <w:numId w:val="20"/>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Customer Class</w:t>
      </w:r>
    </w:p>
    <w:p w14:paraId="7727D2AC" w14:textId="2C116032" w:rsidR="00541FE8" w:rsidRPr="00541FE8" w:rsidRDefault="00541FE8" w:rsidP="00541FE8">
      <w:pPr>
        <w:numPr>
          <w:ilvl w:val="0"/>
          <w:numId w:val="20"/>
        </w:numPr>
        <w:shd w:val="clear" w:color="auto" w:fill="FFFFFF"/>
        <w:spacing w:after="0" w:line="240" w:lineRule="auto"/>
        <w:ind w:left="0"/>
        <w:textAlignment w:val="top"/>
        <w:rPr>
          <w:rFonts w:ascii="Arial" w:eastAsia="Times New Roman" w:hAnsi="Arial" w:cs="Arial"/>
          <w:color w:val="0000FF"/>
          <w:sz w:val="21"/>
          <w:szCs w:val="21"/>
          <w:lang w:val="en-US"/>
        </w:rPr>
      </w:pPr>
      <w:r w:rsidRPr="00541FE8">
        <w:rPr>
          <w:rFonts w:ascii="Arial" w:eastAsia="Times New Roman" w:hAnsi="Arial" w:cs="Arial"/>
          <w:b/>
          <w:bCs/>
          <w:color w:val="0000FF"/>
          <w:sz w:val="21"/>
          <w:szCs w:val="21"/>
          <w:lang w:val="en-US"/>
        </w:rPr>
        <w:t>Collection Class Control</w:t>
      </w:r>
    </w:p>
    <w:p w14:paraId="4DCA0CF1" w14:textId="77777777" w:rsidR="00541FE8" w:rsidRPr="00541FE8" w:rsidRDefault="00541FE8" w:rsidP="00541FE8">
      <w:pPr>
        <w:numPr>
          <w:ilvl w:val="0"/>
          <w:numId w:val="20"/>
        </w:numPr>
        <w:shd w:val="clear" w:color="auto" w:fill="FFFFFF"/>
        <w:spacing w:after="0"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Collection Class</w:t>
      </w:r>
    </w:p>
    <w:p w14:paraId="5B5F4826" w14:textId="260F02EB" w:rsidR="00541FE8" w:rsidRPr="00541FE8" w:rsidRDefault="00541FE8" w:rsidP="00541FE8">
      <w:pPr>
        <w:numPr>
          <w:ilvl w:val="0"/>
          <w:numId w:val="20"/>
        </w:numPr>
        <w:shd w:val="clear" w:color="auto" w:fill="FFFFFF"/>
        <w:spacing w:line="240" w:lineRule="auto"/>
        <w:ind w:left="0"/>
        <w:textAlignment w:val="top"/>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Collection Process Templa</w:t>
      </w:r>
      <w:r w:rsidR="00855E30">
        <w:rPr>
          <w:rFonts w:ascii="Arial" w:eastAsia="Times New Roman" w:hAnsi="Arial" w:cs="Arial"/>
          <w:color w:val="555555"/>
          <w:sz w:val="21"/>
          <w:szCs w:val="21"/>
          <w:lang w:val="en-US"/>
        </w:rPr>
        <w:t>t</w:t>
      </w:r>
      <w:r w:rsidRPr="00541FE8">
        <w:rPr>
          <w:rFonts w:ascii="Arial" w:eastAsia="Times New Roman" w:hAnsi="Arial" w:cs="Arial"/>
          <w:color w:val="555555"/>
          <w:sz w:val="21"/>
          <w:szCs w:val="21"/>
          <w:lang w:val="en-US"/>
        </w:rPr>
        <w:t>e</w:t>
      </w:r>
    </w:p>
    <w:p w14:paraId="715FC865" w14:textId="77777777" w:rsidR="00541FE8" w:rsidRPr="00541FE8" w:rsidRDefault="00541FE8" w:rsidP="00541FE8">
      <w:pPr>
        <w:shd w:val="clear" w:color="auto" w:fill="FFFFFF"/>
        <w:spacing w:after="0" w:line="240" w:lineRule="auto"/>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Explanation:</w:t>
      </w:r>
    </w:p>
    <w:p w14:paraId="14E4FE37" w14:textId="1087BCFC" w:rsidR="00541FE8" w:rsidRPr="00541FE8" w:rsidRDefault="00541FE8" w:rsidP="00855E30">
      <w:pPr>
        <w:shd w:val="clear" w:color="auto" w:fill="FFFFFF"/>
        <w:spacing w:after="300" w:line="240" w:lineRule="auto"/>
        <w:rPr>
          <w:rFonts w:ascii="Arial" w:eastAsia="Times New Roman" w:hAnsi="Arial" w:cs="Arial"/>
          <w:color w:val="555555"/>
          <w:sz w:val="21"/>
          <w:szCs w:val="21"/>
          <w:lang w:val="en-US"/>
        </w:rPr>
      </w:pPr>
      <w:r w:rsidRPr="00541FE8">
        <w:rPr>
          <w:rFonts w:ascii="Arial" w:eastAsia="Times New Roman" w:hAnsi="Arial" w:cs="Arial"/>
          <w:color w:val="555555"/>
          <w:sz w:val="21"/>
          <w:szCs w:val="21"/>
          <w:lang w:val="en-US"/>
        </w:rPr>
        <w:t>Reference: https://docs.oracle.com/cd/E28945_01/4.3%20Collect%20Revenue/CC&amp;B%20URM%204.3.2.1.pd</w:t>
      </w:r>
      <w:r w:rsidRPr="00541FE8">
        <w:rPr>
          <w:rFonts w:ascii="Arial" w:eastAsia="Times New Roman" w:hAnsi="Arial" w:cs="Arial"/>
          <w:vanish/>
          <w:sz w:val="16"/>
          <w:szCs w:val="16"/>
          <w:lang w:val="en-US"/>
        </w:rPr>
        <w:t>Top of Form</w:t>
      </w:r>
    </w:p>
    <w:p w14:paraId="2FF94DDD" w14:textId="77777777" w:rsidR="00541FE8" w:rsidRPr="00541FE8" w:rsidRDefault="00541FE8" w:rsidP="00541FE8">
      <w:pPr>
        <w:pBdr>
          <w:top w:val="single" w:sz="6" w:space="1" w:color="auto"/>
        </w:pBdr>
        <w:spacing w:after="0" w:line="240" w:lineRule="auto"/>
        <w:jc w:val="center"/>
        <w:rPr>
          <w:rFonts w:ascii="Arial" w:eastAsia="Times New Roman" w:hAnsi="Arial" w:cs="Arial"/>
          <w:vanish/>
          <w:sz w:val="16"/>
          <w:szCs w:val="16"/>
          <w:lang w:val="en-US"/>
        </w:rPr>
      </w:pPr>
      <w:r w:rsidRPr="00541FE8">
        <w:rPr>
          <w:rFonts w:ascii="Arial" w:eastAsia="Times New Roman" w:hAnsi="Arial" w:cs="Arial"/>
          <w:vanish/>
          <w:sz w:val="16"/>
          <w:szCs w:val="16"/>
          <w:lang w:val="en-US"/>
        </w:rPr>
        <w:t>Bottom of Form</w:t>
      </w:r>
    </w:p>
    <w:sectPr w:rsidR="00541FE8" w:rsidRPr="00541FE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212CA" w14:textId="77777777" w:rsidR="00300F9B" w:rsidRDefault="00300F9B" w:rsidP="00A40C77">
      <w:pPr>
        <w:spacing w:after="0" w:line="240" w:lineRule="auto"/>
      </w:pPr>
      <w:r>
        <w:separator/>
      </w:r>
    </w:p>
  </w:endnote>
  <w:endnote w:type="continuationSeparator" w:id="0">
    <w:p w14:paraId="5B00AFFF" w14:textId="77777777" w:rsidR="00300F9B" w:rsidRDefault="00300F9B" w:rsidP="00A40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13079" w14:textId="2A10BFD6" w:rsidR="00042A58" w:rsidRDefault="00042A58">
    <w:pPr>
      <w:pStyle w:val="Footer"/>
    </w:pPr>
    <w:r>
      <w:rPr>
        <w:noProof/>
      </w:rPr>
      <mc:AlternateContent>
        <mc:Choice Requires="wps">
          <w:drawing>
            <wp:anchor distT="0" distB="0" distL="114300" distR="114300" simplePos="0" relativeHeight="251659264" behindDoc="0" locked="0" layoutInCell="0" allowOverlap="1" wp14:anchorId="5F9C3674" wp14:editId="5972893E">
              <wp:simplePos x="0" y="0"/>
              <wp:positionH relativeFrom="page">
                <wp:posOffset>0</wp:posOffset>
              </wp:positionH>
              <wp:positionV relativeFrom="page">
                <wp:posOffset>10234930</wp:posOffset>
              </wp:positionV>
              <wp:extent cx="7560310" cy="266700"/>
              <wp:effectExtent l="0" t="0" r="0" b="0"/>
              <wp:wrapNone/>
              <wp:docPr id="1" name="MSIPCMc7f04adb90df26446ff1a2fb" descr="{&quot;HashCode&quot;:-147745887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5F8486" w14:textId="179F43E2" w:rsidR="00042A58" w:rsidRPr="00A40C77" w:rsidRDefault="00042A58" w:rsidP="00A40C77">
                          <w:pPr>
                            <w:spacing w:after="0"/>
                            <w:jc w:val="center"/>
                            <w:rPr>
                              <w:rFonts w:ascii="Arial" w:hAnsi="Arial" w:cs="Arial"/>
                              <w:color w:val="000000"/>
                              <w:sz w:val="14"/>
                            </w:rPr>
                          </w:pPr>
                          <w:r w:rsidRPr="00A40C77">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F9C3674" id="_x0000_t202" coordsize="21600,21600" o:spt="202" path="m,l,21600r21600,l21600,xe">
              <v:stroke joinstyle="miter"/>
              <v:path gradientshapeok="t" o:connecttype="rect"/>
            </v:shapetype>
            <v:shape id="MSIPCMc7f04adb90df26446ff1a2fb" o:spid="_x0000_s1026" type="#_x0000_t202" alt="{&quot;HashCode&quot;:-147745887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" o:allowincell="f" filled="f" stroked="f" strokeweight=".5pt">
              <v:fill o:detectmouseclick="t"/>
              <v:textbox inset=",0,,0">
                <w:txbxContent>
                  <w:p w14:paraId="515F8486" w14:textId="179F43E2" w:rsidR="00042A58" w:rsidRPr="00A40C77" w:rsidRDefault="00042A58" w:rsidP="00A40C77">
                    <w:pPr>
                      <w:spacing w:after="0"/>
                      <w:jc w:val="center"/>
                      <w:rPr>
                        <w:rFonts w:ascii="Arial" w:hAnsi="Arial" w:cs="Arial"/>
                        <w:color w:val="000000"/>
                        <w:sz w:val="14"/>
                      </w:rPr>
                    </w:pPr>
                    <w:r w:rsidRPr="00A40C77">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88C89" w14:textId="77777777" w:rsidR="00300F9B" w:rsidRDefault="00300F9B" w:rsidP="00A40C77">
      <w:pPr>
        <w:spacing w:after="0" w:line="240" w:lineRule="auto"/>
      </w:pPr>
      <w:r>
        <w:separator/>
      </w:r>
    </w:p>
  </w:footnote>
  <w:footnote w:type="continuationSeparator" w:id="0">
    <w:p w14:paraId="7C634E14" w14:textId="77777777" w:rsidR="00300F9B" w:rsidRDefault="00300F9B" w:rsidP="00A40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43687"/>
    <w:multiLevelType w:val="multilevel"/>
    <w:tmpl w:val="4390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9719B5"/>
    <w:multiLevelType w:val="multilevel"/>
    <w:tmpl w:val="E600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A448CC"/>
    <w:multiLevelType w:val="multilevel"/>
    <w:tmpl w:val="F70C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301662"/>
    <w:multiLevelType w:val="multilevel"/>
    <w:tmpl w:val="CFCA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097730"/>
    <w:multiLevelType w:val="multilevel"/>
    <w:tmpl w:val="776E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20106A"/>
    <w:multiLevelType w:val="multilevel"/>
    <w:tmpl w:val="B5D6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DB26EA"/>
    <w:multiLevelType w:val="multilevel"/>
    <w:tmpl w:val="57A4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FC1179"/>
    <w:multiLevelType w:val="multilevel"/>
    <w:tmpl w:val="04BC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260B92"/>
    <w:multiLevelType w:val="multilevel"/>
    <w:tmpl w:val="01B6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2B40EC"/>
    <w:multiLevelType w:val="multilevel"/>
    <w:tmpl w:val="D33A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4811EE"/>
    <w:multiLevelType w:val="multilevel"/>
    <w:tmpl w:val="0FBA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A41C58"/>
    <w:multiLevelType w:val="multilevel"/>
    <w:tmpl w:val="32E8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6403A9"/>
    <w:multiLevelType w:val="multilevel"/>
    <w:tmpl w:val="3DF4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071E22"/>
    <w:multiLevelType w:val="multilevel"/>
    <w:tmpl w:val="7EDE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D8515E"/>
    <w:multiLevelType w:val="multilevel"/>
    <w:tmpl w:val="B3BA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8872B4"/>
    <w:multiLevelType w:val="multilevel"/>
    <w:tmpl w:val="745C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E02A7E"/>
    <w:multiLevelType w:val="multilevel"/>
    <w:tmpl w:val="C642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A01875"/>
    <w:multiLevelType w:val="multilevel"/>
    <w:tmpl w:val="058C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EB2E5D"/>
    <w:multiLevelType w:val="multilevel"/>
    <w:tmpl w:val="A3BA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3D6149"/>
    <w:multiLevelType w:val="multilevel"/>
    <w:tmpl w:val="D86A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16"/>
  </w:num>
  <w:num w:numId="4">
    <w:abstractNumId w:val="10"/>
  </w:num>
  <w:num w:numId="5">
    <w:abstractNumId w:val="2"/>
  </w:num>
  <w:num w:numId="6">
    <w:abstractNumId w:val="4"/>
  </w:num>
  <w:num w:numId="7">
    <w:abstractNumId w:val="13"/>
  </w:num>
  <w:num w:numId="8">
    <w:abstractNumId w:val="19"/>
  </w:num>
  <w:num w:numId="9">
    <w:abstractNumId w:val="17"/>
  </w:num>
  <w:num w:numId="10">
    <w:abstractNumId w:val="3"/>
  </w:num>
  <w:num w:numId="11">
    <w:abstractNumId w:val="14"/>
  </w:num>
  <w:num w:numId="12">
    <w:abstractNumId w:val="8"/>
  </w:num>
  <w:num w:numId="13">
    <w:abstractNumId w:val="0"/>
  </w:num>
  <w:num w:numId="14">
    <w:abstractNumId w:val="12"/>
  </w:num>
  <w:num w:numId="15">
    <w:abstractNumId w:val="5"/>
  </w:num>
  <w:num w:numId="16">
    <w:abstractNumId w:val="15"/>
  </w:num>
  <w:num w:numId="17">
    <w:abstractNumId w:val="18"/>
  </w:num>
  <w:num w:numId="18">
    <w:abstractNumId w:val="11"/>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E8"/>
    <w:rsid w:val="00042A58"/>
    <w:rsid w:val="00300F9B"/>
    <w:rsid w:val="00400C7D"/>
    <w:rsid w:val="00414CF9"/>
    <w:rsid w:val="004D3C84"/>
    <w:rsid w:val="004F357F"/>
    <w:rsid w:val="00526C63"/>
    <w:rsid w:val="00541FE8"/>
    <w:rsid w:val="006B56F8"/>
    <w:rsid w:val="006E3080"/>
    <w:rsid w:val="00855E30"/>
    <w:rsid w:val="00A10E54"/>
    <w:rsid w:val="00A40C77"/>
    <w:rsid w:val="00A601EB"/>
    <w:rsid w:val="00B55C26"/>
    <w:rsid w:val="00BA3043"/>
    <w:rsid w:val="00DC0B31"/>
    <w:rsid w:val="00E2542E"/>
    <w:rsid w:val="00F23019"/>
    <w:rsid w:val="00F95A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ED569"/>
  <w15:chartTrackingRefBased/>
  <w15:docId w15:val="{E0DD2896-5665-4CAE-A3C2-655D4F84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tupronum">
    <w:name w:val="watupro_num"/>
    <w:basedOn w:val="DefaultParagraphFont"/>
    <w:rsid w:val="00541FE8"/>
  </w:style>
  <w:style w:type="paragraph" w:customStyle="1" w:styleId="answer">
    <w:name w:val="answer"/>
    <w:basedOn w:val="Normal"/>
    <w:rsid w:val="00541F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nswer1">
    <w:name w:val="answer1"/>
    <w:basedOn w:val="DefaultParagraphFont"/>
    <w:rsid w:val="00541FE8"/>
  </w:style>
  <w:style w:type="character" w:customStyle="1" w:styleId="watupro-screen-reader">
    <w:name w:val="watupro-screen-reader"/>
    <w:basedOn w:val="DefaultParagraphFont"/>
    <w:rsid w:val="00541FE8"/>
  </w:style>
  <w:style w:type="paragraph" w:styleId="NormalWeb">
    <w:name w:val="Normal (Web)"/>
    <w:basedOn w:val="Normal"/>
    <w:uiPriority w:val="99"/>
    <w:semiHidden/>
    <w:unhideWhenUsed/>
    <w:rsid w:val="00541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541FE8"/>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541FE8"/>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541FE8"/>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541FE8"/>
    <w:rPr>
      <w:rFonts w:ascii="Arial" w:eastAsia="Times New Roman" w:hAnsi="Arial" w:cs="Arial"/>
      <w:vanish/>
      <w:sz w:val="16"/>
      <w:szCs w:val="16"/>
      <w:lang w:val="en-US"/>
    </w:rPr>
  </w:style>
  <w:style w:type="character" w:styleId="Hyperlink">
    <w:name w:val="Hyperlink"/>
    <w:basedOn w:val="DefaultParagraphFont"/>
    <w:uiPriority w:val="99"/>
    <w:unhideWhenUsed/>
    <w:rsid w:val="00E2542E"/>
    <w:rPr>
      <w:color w:val="0563C1" w:themeColor="hyperlink"/>
      <w:u w:val="single"/>
    </w:rPr>
  </w:style>
  <w:style w:type="character" w:styleId="UnresolvedMention">
    <w:name w:val="Unresolved Mention"/>
    <w:basedOn w:val="DefaultParagraphFont"/>
    <w:uiPriority w:val="99"/>
    <w:semiHidden/>
    <w:unhideWhenUsed/>
    <w:rsid w:val="00E2542E"/>
    <w:rPr>
      <w:color w:val="605E5C"/>
      <w:shd w:val="clear" w:color="auto" w:fill="E1DFDD"/>
    </w:rPr>
  </w:style>
  <w:style w:type="paragraph" w:styleId="Header">
    <w:name w:val="header"/>
    <w:basedOn w:val="Normal"/>
    <w:link w:val="HeaderChar"/>
    <w:uiPriority w:val="99"/>
    <w:unhideWhenUsed/>
    <w:rsid w:val="00A40C7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40C77"/>
  </w:style>
  <w:style w:type="paragraph" w:styleId="Footer">
    <w:name w:val="footer"/>
    <w:basedOn w:val="Normal"/>
    <w:link w:val="FooterChar"/>
    <w:uiPriority w:val="99"/>
    <w:unhideWhenUsed/>
    <w:rsid w:val="00A40C7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40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390677">
      <w:bodyDiv w:val="1"/>
      <w:marLeft w:val="0"/>
      <w:marRight w:val="0"/>
      <w:marTop w:val="0"/>
      <w:marBottom w:val="0"/>
      <w:divBdr>
        <w:top w:val="none" w:sz="0" w:space="0" w:color="auto"/>
        <w:left w:val="none" w:sz="0" w:space="0" w:color="auto"/>
        <w:bottom w:val="none" w:sz="0" w:space="0" w:color="auto"/>
        <w:right w:val="none" w:sz="0" w:space="0" w:color="auto"/>
      </w:divBdr>
      <w:divsChild>
        <w:div w:id="484246992">
          <w:marLeft w:val="0"/>
          <w:marRight w:val="0"/>
          <w:marTop w:val="0"/>
          <w:marBottom w:val="0"/>
          <w:divBdr>
            <w:top w:val="none" w:sz="0" w:space="0" w:color="auto"/>
            <w:left w:val="none" w:sz="0" w:space="0" w:color="auto"/>
            <w:bottom w:val="none" w:sz="0" w:space="0" w:color="auto"/>
            <w:right w:val="none" w:sz="0" w:space="0" w:color="auto"/>
          </w:divBdr>
          <w:divsChild>
            <w:div w:id="1330788229">
              <w:marLeft w:val="0"/>
              <w:marRight w:val="0"/>
              <w:marTop w:val="0"/>
              <w:marBottom w:val="0"/>
              <w:divBdr>
                <w:top w:val="none" w:sz="0" w:space="0" w:color="auto"/>
                <w:left w:val="none" w:sz="0" w:space="0" w:color="auto"/>
                <w:bottom w:val="none" w:sz="0" w:space="0" w:color="auto"/>
                <w:right w:val="none" w:sz="0" w:space="0" w:color="auto"/>
              </w:divBdr>
              <w:divsChild>
                <w:div w:id="1338069576">
                  <w:marLeft w:val="0"/>
                  <w:marRight w:val="0"/>
                  <w:marTop w:val="0"/>
                  <w:marBottom w:val="120"/>
                  <w:divBdr>
                    <w:top w:val="none" w:sz="0" w:space="0" w:color="auto"/>
                    <w:left w:val="none" w:sz="0" w:space="0" w:color="auto"/>
                    <w:bottom w:val="none" w:sz="0" w:space="0" w:color="auto"/>
                    <w:right w:val="none" w:sz="0" w:space="0" w:color="auto"/>
                  </w:divBdr>
                </w:div>
                <w:div w:id="1165317255">
                  <w:marLeft w:val="0"/>
                  <w:marRight w:val="0"/>
                  <w:marTop w:val="0"/>
                  <w:marBottom w:val="240"/>
                  <w:divBdr>
                    <w:top w:val="none" w:sz="0" w:space="0" w:color="auto"/>
                    <w:left w:val="none" w:sz="0" w:space="0" w:color="auto"/>
                    <w:bottom w:val="none" w:sz="0" w:space="0" w:color="auto"/>
                    <w:right w:val="none" w:sz="0" w:space="0" w:color="auto"/>
                  </w:divBdr>
                </w:div>
              </w:divsChild>
            </w:div>
            <w:div w:id="447236686">
              <w:marLeft w:val="0"/>
              <w:marRight w:val="0"/>
              <w:marTop w:val="0"/>
              <w:marBottom w:val="0"/>
              <w:divBdr>
                <w:top w:val="none" w:sz="0" w:space="0" w:color="auto"/>
                <w:left w:val="none" w:sz="0" w:space="0" w:color="auto"/>
                <w:bottom w:val="none" w:sz="0" w:space="0" w:color="auto"/>
                <w:right w:val="none" w:sz="0" w:space="0" w:color="auto"/>
              </w:divBdr>
              <w:divsChild>
                <w:div w:id="142547151">
                  <w:marLeft w:val="0"/>
                  <w:marRight w:val="0"/>
                  <w:marTop w:val="0"/>
                  <w:marBottom w:val="120"/>
                  <w:divBdr>
                    <w:top w:val="none" w:sz="0" w:space="0" w:color="auto"/>
                    <w:left w:val="none" w:sz="0" w:space="0" w:color="auto"/>
                    <w:bottom w:val="none" w:sz="0" w:space="0" w:color="auto"/>
                    <w:right w:val="none" w:sz="0" w:space="0" w:color="auto"/>
                  </w:divBdr>
                </w:div>
                <w:div w:id="442501647">
                  <w:marLeft w:val="0"/>
                  <w:marRight w:val="0"/>
                  <w:marTop w:val="0"/>
                  <w:marBottom w:val="240"/>
                  <w:divBdr>
                    <w:top w:val="none" w:sz="0" w:space="0" w:color="auto"/>
                    <w:left w:val="none" w:sz="0" w:space="0" w:color="auto"/>
                    <w:bottom w:val="none" w:sz="0" w:space="0" w:color="auto"/>
                    <w:right w:val="none" w:sz="0" w:space="0" w:color="auto"/>
                  </w:divBdr>
                </w:div>
                <w:div w:id="1699162456">
                  <w:marLeft w:val="0"/>
                  <w:marRight w:val="0"/>
                  <w:marTop w:val="300"/>
                  <w:marBottom w:val="0"/>
                  <w:divBdr>
                    <w:top w:val="none" w:sz="0" w:space="0" w:color="auto"/>
                    <w:left w:val="none" w:sz="0" w:space="0" w:color="auto"/>
                    <w:bottom w:val="none" w:sz="0" w:space="0" w:color="auto"/>
                    <w:right w:val="none" w:sz="0" w:space="0" w:color="auto"/>
                  </w:divBdr>
                </w:div>
              </w:divsChild>
            </w:div>
            <w:div w:id="1896888123">
              <w:marLeft w:val="0"/>
              <w:marRight w:val="0"/>
              <w:marTop w:val="0"/>
              <w:marBottom w:val="0"/>
              <w:divBdr>
                <w:top w:val="none" w:sz="0" w:space="0" w:color="auto"/>
                <w:left w:val="none" w:sz="0" w:space="0" w:color="auto"/>
                <w:bottom w:val="none" w:sz="0" w:space="0" w:color="auto"/>
                <w:right w:val="none" w:sz="0" w:space="0" w:color="auto"/>
              </w:divBdr>
              <w:divsChild>
                <w:div w:id="1067995331">
                  <w:marLeft w:val="0"/>
                  <w:marRight w:val="0"/>
                  <w:marTop w:val="0"/>
                  <w:marBottom w:val="120"/>
                  <w:divBdr>
                    <w:top w:val="none" w:sz="0" w:space="0" w:color="auto"/>
                    <w:left w:val="none" w:sz="0" w:space="0" w:color="auto"/>
                    <w:bottom w:val="none" w:sz="0" w:space="0" w:color="auto"/>
                    <w:right w:val="none" w:sz="0" w:space="0" w:color="auto"/>
                  </w:divBdr>
                </w:div>
                <w:div w:id="887643225">
                  <w:marLeft w:val="0"/>
                  <w:marRight w:val="0"/>
                  <w:marTop w:val="0"/>
                  <w:marBottom w:val="240"/>
                  <w:divBdr>
                    <w:top w:val="none" w:sz="0" w:space="0" w:color="auto"/>
                    <w:left w:val="none" w:sz="0" w:space="0" w:color="auto"/>
                    <w:bottom w:val="none" w:sz="0" w:space="0" w:color="auto"/>
                    <w:right w:val="none" w:sz="0" w:space="0" w:color="auto"/>
                  </w:divBdr>
                </w:div>
              </w:divsChild>
            </w:div>
            <w:div w:id="1360862753">
              <w:marLeft w:val="0"/>
              <w:marRight w:val="0"/>
              <w:marTop w:val="0"/>
              <w:marBottom w:val="0"/>
              <w:divBdr>
                <w:top w:val="none" w:sz="0" w:space="0" w:color="auto"/>
                <w:left w:val="none" w:sz="0" w:space="0" w:color="auto"/>
                <w:bottom w:val="none" w:sz="0" w:space="0" w:color="auto"/>
                <w:right w:val="none" w:sz="0" w:space="0" w:color="auto"/>
              </w:divBdr>
              <w:divsChild>
                <w:div w:id="1796413497">
                  <w:marLeft w:val="0"/>
                  <w:marRight w:val="0"/>
                  <w:marTop w:val="0"/>
                  <w:marBottom w:val="120"/>
                  <w:divBdr>
                    <w:top w:val="none" w:sz="0" w:space="0" w:color="auto"/>
                    <w:left w:val="none" w:sz="0" w:space="0" w:color="auto"/>
                    <w:bottom w:val="none" w:sz="0" w:space="0" w:color="auto"/>
                    <w:right w:val="none" w:sz="0" w:space="0" w:color="auto"/>
                  </w:divBdr>
                </w:div>
                <w:div w:id="1971477804">
                  <w:marLeft w:val="0"/>
                  <w:marRight w:val="0"/>
                  <w:marTop w:val="0"/>
                  <w:marBottom w:val="240"/>
                  <w:divBdr>
                    <w:top w:val="none" w:sz="0" w:space="0" w:color="auto"/>
                    <w:left w:val="none" w:sz="0" w:space="0" w:color="auto"/>
                    <w:bottom w:val="none" w:sz="0" w:space="0" w:color="auto"/>
                    <w:right w:val="none" w:sz="0" w:space="0" w:color="auto"/>
                  </w:divBdr>
                </w:div>
                <w:div w:id="1906791418">
                  <w:marLeft w:val="0"/>
                  <w:marRight w:val="0"/>
                  <w:marTop w:val="300"/>
                  <w:marBottom w:val="0"/>
                  <w:divBdr>
                    <w:top w:val="none" w:sz="0" w:space="0" w:color="auto"/>
                    <w:left w:val="none" w:sz="0" w:space="0" w:color="auto"/>
                    <w:bottom w:val="none" w:sz="0" w:space="0" w:color="auto"/>
                    <w:right w:val="none" w:sz="0" w:space="0" w:color="auto"/>
                  </w:divBdr>
                </w:div>
              </w:divsChild>
            </w:div>
            <w:div w:id="1125274229">
              <w:marLeft w:val="0"/>
              <w:marRight w:val="0"/>
              <w:marTop w:val="0"/>
              <w:marBottom w:val="0"/>
              <w:divBdr>
                <w:top w:val="none" w:sz="0" w:space="0" w:color="auto"/>
                <w:left w:val="none" w:sz="0" w:space="0" w:color="auto"/>
                <w:bottom w:val="none" w:sz="0" w:space="0" w:color="auto"/>
                <w:right w:val="none" w:sz="0" w:space="0" w:color="auto"/>
              </w:divBdr>
              <w:divsChild>
                <w:div w:id="1812282657">
                  <w:marLeft w:val="0"/>
                  <w:marRight w:val="0"/>
                  <w:marTop w:val="0"/>
                  <w:marBottom w:val="120"/>
                  <w:divBdr>
                    <w:top w:val="none" w:sz="0" w:space="0" w:color="auto"/>
                    <w:left w:val="none" w:sz="0" w:space="0" w:color="auto"/>
                    <w:bottom w:val="none" w:sz="0" w:space="0" w:color="auto"/>
                    <w:right w:val="none" w:sz="0" w:space="0" w:color="auto"/>
                  </w:divBdr>
                </w:div>
                <w:div w:id="1419911245">
                  <w:marLeft w:val="0"/>
                  <w:marRight w:val="0"/>
                  <w:marTop w:val="0"/>
                  <w:marBottom w:val="240"/>
                  <w:divBdr>
                    <w:top w:val="none" w:sz="0" w:space="0" w:color="auto"/>
                    <w:left w:val="none" w:sz="0" w:space="0" w:color="auto"/>
                    <w:bottom w:val="none" w:sz="0" w:space="0" w:color="auto"/>
                    <w:right w:val="none" w:sz="0" w:space="0" w:color="auto"/>
                  </w:divBdr>
                </w:div>
              </w:divsChild>
            </w:div>
            <w:div w:id="1941790672">
              <w:marLeft w:val="0"/>
              <w:marRight w:val="0"/>
              <w:marTop w:val="0"/>
              <w:marBottom w:val="0"/>
              <w:divBdr>
                <w:top w:val="none" w:sz="0" w:space="0" w:color="auto"/>
                <w:left w:val="none" w:sz="0" w:space="0" w:color="auto"/>
                <w:bottom w:val="none" w:sz="0" w:space="0" w:color="auto"/>
                <w:right w:val="none" w:sz="0" w:space="0" w:color="auto"/>
              </w:divBdr>
              <w:divsChild>
                <w:div w:id="1707291386">
                  <w:marLeft w:val="0"/>
                  <w:marRight w:val="0"/>
                  <w:marTop w:val="0"/>
                  <w:marBottom w:val="120"/>
                  <w:divBdr>
                    <w:top w:val="none" w:sz="0" w:space="0" w:color="auto"/>
                    <w:left w:val="none" w:sz="0" w:space="0" w:color="auto"/>
                    <w:bottom w:val="none" w:sz="0" w:space="0" w:color="auto"/>
                    <w:right w:val="none" w:sz="0" w:space="0" w:color="auto"/>
                  </w:divBdr>
                </w:div>
                <w:div w:id="402610482">
                  <w:marLeft w:val="0"/>
                  <w:marRight w:val="0"/>
                  <w:marTop w:val="0"/>
                  <w:marBottom w:val="240"/>
                  <w:divBdr>
                    <w:top w:val="none" w:sz="0" w:space="0" w:color="auto"/>
                    <w:left w:val="none" w:sz="0" w:space="0" w:color="auto"/>
                    <w:bottom w:val="none" w:sz="0" w:space="0" w:color="auto"/>
                    <w:right w:val="none" w:sz="0" w:space="0" w:color="auto"/>
                  </w:divBdr>
                </w:div>
              </w:divsChild>
            </w:div>
            <w:div w:id="87771917">
              <w:marLeft w:val="0"/>
              <w:marRight w:val="0"/>
              <w:marTop w:val="0"/>
              <w:marBottom w:val="0"/>
              <w:divBdr>
                <w:top w:val="none" w:sz="0" w:space="0" w:color="auto"/>
                <w:left w:val="none" w:sz="0" w:space="0" w:color="auto"/>
                <w:bottom w:val="none" w:sz="0" w:space="0" w:color="auto"/>
                <w:right w:val="none" w:sz="0" w:space="0" w:color="auto"/>
              </w:divBdr>
              <w:divsChild>
                <w:div w:id="1551116247">
                  <w:marLeft w:val="0"/>
                  <w:marRight w:val="0"/>
                  <w:marTop w:val="0"/>
                  <w:marBottom w:val="120"/>
                  <w:divBdr>
                    <w:top w:val="none" w:sz="0" w:space="0" w:color="auto"/>
                    <w:left w:val="none" w:sz="0" w:space="0" w:color="auto"/>
                    <w:bottom w:val="none" w:sz="0" w:space="0" w:color="auto"/>
                    <w:right w:val="none" w:sz="0" w:space="0" w:color="auto"/>
                  </w:divBdr>
                </w:div>
                <w:div w:id="984548632">
                  <w:marLeft w:val="0"/>
                  <w:marRight w:val="0"/>
                  <w:marTop w:val="0"/>
                  <w:marBottom w:val="240"/>
                  <w:divBdr>
                    <w:top w:val="none" w:sz="0" w:space="0" w:color="auto"/>
                    <w:left w:val="none" w:sz="0" w:space="0" w:color="auto"/>
                    <w:bottom w:val="none" w:sz="0" w:space="0" w:color="auto"/>
                    <w:right w:val="none" w:sz="0" w:space="0" w:color="auto"/>
                  </w:divBdr>
                </w:div>
                <w:div w:id="2140151166">
                  <w:marLeft w:val="0"/>
                  <w:marRight w:val="0"/>
                  <w:marTop w:val="300"/>
                  <w:marBottom w:val="0"/>
                  <w:divBdr>
                    <w:top w:val="none" w:sz="0" w:space="0" w:color="auto"/>
                    <w:left w:val="none" w:sz="0" w:space="0" w:color="auto"/>
                    <w:bottom w:val="none" w:sz="0" w:space="0" w:color="auto"/>
                    <w:right w:val="none" w:sz="0" w:space="0" w:color="auto"/>
                  </w:divBdr>
                </w:div>
              </w:divsChild>
            </w:div>
            <w:div w:id="1811358192">
              <w:marLeft w:val="0"/>
              <w:marRight w:val="0"/>
              <w:marTop w:val="0"/>
              <w:marBottom w:val="0"/>
              <w:divBdr>
                <w:top w:val="none" w:sz="0" w:space="0" w:color="auto"/>
                <w:left w:val="none" w:sz="0" w:space="0" w:color="auto"/>
                <w:bottom w:val="none" w:sz="0" w:space="0" w:color="auto"/>
                <w:right w:val="none" w:sz="0" w:space="0" w:color="auto"/>
              </w:divBdr>
              <w:divsChild>
                <w:div w:id="1367605448">
                  <w:marLeft w:val="0"/>
                  <w:marRight w:val="0"/>
                  <w:marTop w:val="0"/>
                  <w:marBottom w:val="120"/>
                  <w:divBdr>
                    <w:top w:val="none" w:sz="0" w:space="0" w:color="auto"/>
                    <w:left w:val="none" w:sz="0" w:space="0" w:color="auto"/>
                    <w:bottom w:val="none" w:sz="0" w:space="0" w:color="auto"/>
                    <w:right w:val="none" w:sz="0" w:space="0" w:color="auto"/>
                  </w:divBdr>
                </w:div>
                <w:div w:id="53089955">
                  <w:marLeft w:val="0"/>
                  <w:marRight w:val="0"/>
                  <w:marTop w:val="0"/>
                  <w:marBottom w:val="240"/>
                  <w:divBdr>
                    <w:top w:val="none" w:sz="0" w:space="0" w:color="auto"/>
                    <w:left w:val="none" w:sz="0" w:space="0" w:color="auto"/>
                    <w:bottom w:val="none" w:sz="0" w:space="0" w:color="auto"/>
                    <w:right w:val="none" w:sz="0" w:space="0" w:color="auto"/>
                  </w:divBdr>
                </w:div>
              </w:divsChild>
            </w:div>
            <w:div w:id="719134142">
              <w:marLeft w:val="0"/>
              <w:marRight w:val="0"/>
              <w:marTop w:val="0"/>
              <w:marBottom w:val="0"/>
              <w:divBdr>
                <w:top w:val="none" w:sz="0" w:space="0" w:color="auto"/>
                <w:left w:val="none" w:sz="0" w:space="0" w:color="auto"/>
                <w:bottom w:val="none" w:sz="0" w:space="0" w:color="auto"/>
                <w:right w:val="none" w:sz="0" w:space="0" w:color="auto"/>
              </w:divBdr>
              <w:divsChild>
                <w:div w:id="1970285354">
                  <w:marLeft w:val="0"/>
                  <w:marRight w:val="0"/>
                  <w:marTop w:val="0"/>
                  <w:marBottom w:val="120"/>
                  <w:divBdr>
                    <w:top w:val="none" w:sz="0" w:space="0" w:color="auto"/>
                    <w:left w:val="none" w:sz="0" w:space="0" w:color="auto"/>
                    <w:bottom w:val="none" w:sz="0" w:space="0" w:color="auto"/>
                    <w:right w:val="none" w:sz="0" w:space="0" w:color="auto"/>
                  </w:divBdr>
                </w:div>
                <w:div w:id="1079908768">
                  <w:marLeft w:val="0"/>
                  <w:marRight w:val="0"/>
                  <w:marTop w:val="0"/>
                  <w:marBottom w:val="240"/>
                  <w:divBdr>
                    <w:top w:val="none" w:sz="0" w:space="0" w:color="auto"/>
                    <w:left w:val="none" w:sz="0" w:space="0" w:color="auto"/>
                    <w:bottom w:val="none" w:sz="0" w:space="0" w:color="auto"/>
                    <w:right w:val="none" w:sz="0" w:space="0" w:color="auto"/>
                  </w:divBdr>
                </w:div>
              </w:divsChild>
            </w:div>
            <w:div w:id="761951178">
              <w:marLeft w:val="0"/>
              <w:marRight w:val="0"/>
              <w:marTop w:val="0"/>
              <w:marBottom w:val="0"/>
              <w:divBdr>
                <w:top w:val="none" w:sz="0" w:space="0" w:color="auto"/>
                <w:left w:val="none" w:sz="0" w:space="0" w:color="auto"/>
                <w:bottom w:val="none" w:sz="0" w:space="0" w:color="auto"/>
                <w:right w:val="none" w:sz="0" w:space="0" w:color="auto"/>
              </w:divBdr>
              <w:divsChild>
                <w:div w:id="111169259">
                  <w:marLeft w:val="0"/>
                  <w:marRight w:val="0"/>
                  <w:marTop w:val="0"/>
                  <w:marBottom w:val="120"/>
                  <w:divBdr>
                    <w:top w:val="none" w:sz="0" w:space="0" w:color="auto"/>
                    <w:left w:val="none" w:sz="0" w:space="0" w:color="auto"/>
                    <w:bottom w:val="none" w:sz="0" w:space="0" w:color="auto"/>
                    <w:right w:val="none" w:sz="0" w:space="0" w:color="auto"/>
                  </w:divBdr>
                </w:div>
                <w:div w:id="1777679595">
                  <w:marLeft w:val="0"/>
                  <w:marRight w:val="0"/>
                  <w:marTop w:val="0"/>
                  <w:marBottom w:val="240"/>
                  <w:divBdr>
                    <w:top w:val="none" w:sz="0" w:space="0" w:color="auto"/>
                    <w:left w:val="none" w:sz="0" w:space="0" w:color="auto"/>
                    <w:bottom w:val="none" w:sz="0" w:space="0" w:color="auto"/>
                    <w:right w:val="none" w:sz="0" w:space="0" w:color="auto"/>
                  </w:divBdr>
                </w:div>
              </w:divsChild>
            </w:div>
            <w:div w:id="1268386101">
              <w:marLeft w:val="0"/>
              <w:marRight w:val="0"/>
              <w:marTop w:val="0"/>
              <w:marBottom w:val="0"/>
              <w:divBdr>
                <w:top w:val="none" w:sz="0" w:space="0" w:color="auto"/>
                <w:left w:val="none" w:sz="0" w:space="0" w:color="auto"/>
                <w:bottom w:val="none" w:sz="0" w:space="0" w:color="auto"/>
                <w:right w:val="none" w:sz="0" w:space="0" w:color="auto"/>
              </w:divBdr>
              <w:divsChild>
                <w:div w:id="1178151668">
                  <w:marLeft w:val="0"/>
                  <w:marRight w:val="0"/>
                  <w:marTop w:val="0"/>
                  <w:marBottom w:val="120"/>
                  <w:divBdr>
                    <w:top w:val="none" w:sz="0" w:space="0" w:color="auto"/>
                    <w:left w:val="none" w:sz="0" w:space="0" w:color="auto"/>
                    <w:bottom w:val="none" w:sz="0" w:space="0" w:color="auto"/>
                    <w:right w:val="none" w:sz="0" w:space="0" w:color="auto"/>
                  </w:divBdr>
                </w:div>
                <w:div w:id="1194657767">
                  <w:marLeft w:val="0"/>
                  <w:marRight w:val="0"/>
                  <w:marTop w:val="0"/>
                  <w:marBottom w:val="240"/>
                  <w:divBdr>
                    <w:top w:val="none" w:sz="0" w:space="0" w:color="auto"/>
                    <w:left w:val="none" w:sz="0" w:space="0" w:color="auto"/>
                    <w:bottom w:val="none" w:sz="0" w:space="0" w:color="auto"/>
                    <w:right w:val="none" w:sz="0" w:space="0" w:color="auto"/>
                  </w:divBdr>
                </w:div>
                <w:div w:id="935285841">
                  <w:marLeft w:val="0"/>
                  <w:marRight w:val="0"/>
                  <w:marTop w:val="300"/>
                  <w:marBottom w:val="0"/>
                  <w:divBdr>
                    <w:top w:val="none" w:sz="0" w:space="0" w:color="auto"/>
                    <w:left w:val="none" w:sz="0" w:space="0" w:color="auto"/>
                    <w:bottom w:val="none" w:sz="0" w:space="0" w:color="auto"/>
                    <w:right w:val="none" w:sz="0" w:space="0" w:color="auto"/>
                  </w:divBdr>
                </w:div>
              </w:divsChild>
            </w:div>
            <w:div w:id="1372651907">
              <w:marLeft w:val="0"/>
              <w:marRight w:val="0"/>
              <w:marTop w:val="0"/>
              <w:marBottom w:val="0"/>
              <w:divBdr>
                <w:top w:val="none" w:sz="0" w:space="0" w:color="auto"/>
                <w:left w:val="none" w:sz="0" w:space="0" w:color="auto"/>
                <w:bottom w:val="none" w:sz="0" w:space="0" w:color="auto"/>
                <w:right w:val="none" w:sz="0" w:space="0" w:color="auto"/>
              </w:divBdr>
              <w:divsChild>
                <w:div w:id="1099257814">
                  <w:marLeft w:val="0"/>
                  <w:marRight w:val="0"/>
                  <w:marTop w:val="0"/>
                  <w:marBottom w:val="120"/>
                  <w:divBdr>
                    <w:top w:val="none" w:sz="0" w:space="0" w:color="auto"/>
                    <w:left w:val="none" w:sz="0" w:space="0" w:color="auto"/>
                    <w:bottom w:val="none" w:sz="0" w:space="0" w:color="auto"/>
                    <w:right w:val="none" w:sz="0" w:space="0" w:color="auto"/>
                  </w:divBdr>
                </w:div>
                <w:div w:id="1055154869">
                  <w:marLeft w:val="0"/>
                  <w:marRight w:val="0"/>
                  <w:marTop w:val="0"/>
                  <w:marBottom w:val="240"/>
                  <w:divBdr>
                    <w:top w:val="none" w:sz="0" w:space="0" w:color="auto"/>
                    <w:left w:val="none" w:sz="0" w:space="0" w:color="auto"/>
                    <w:bottom w:val="none" w:sz="0" w:space="0" w:color="auto"/>
                    <w:right w:val="none" w:sz="0" w:space="0" w:color="auto"/>
                  </w:divBdr>
                </w:div>
              </w:divsChild>
            </w:div>
            <w:div w:id="747263476">
              <w:marLeft w:val="0"/>
              <w:marRight w:val="0"/>
              <w:marTop w:val="0"/>
              <w:marBottom w:val="0"/>
              <w:divBdr>
                <w:top w:val="none" w:sz="0" w:space="0" w:color="auto"/>
                <w:left w:val="none" w:sz="0" w:space="0" w:color="auto"/>
                <w:bottom w:val="none" w:sz="0" w:space="0" w:color="auto"/>
                <w:right w:val="none" w:sz="0" w:space="0" w:color="auto"/>
              </w:divBdr>
              <w:divsChild>
                <w:div w:id="330763879">
                  <w:marLeft w:val="0"/>
                  <w:marRight w:val="0"/>
                  <w:marTop w:val="0"/>
                  <w:marBottom w:val="120"/>
                  <w:divBdr>
                    <w:top w:val="none" w:sz="0" w:space="0" w:color="auto"/>
                    <w:left w:val="none" w:sz="0" w:space="0" w:color="auto"/>
                    <w:bottom w:val="none" w:sz="0" w:space="0" w:color="auto"/>
                    <w:right w:val="none" w:sz="0" w:space="0" w:color="auto"/>
                  </w:divBdr>
                </w:div>
                <w:div w:id="17659667">
                  <w:marLeft w:val="0"/>
                  <w:marRight w:val="0"/>
                  <w:marTop w:val="0"/>
                  <w:marBottom w:val="240"/>
                  <w:divBdr>
                    <w:top w:val="none" w:sz="0" w:space="0" w:color="auto"/>
                    <w:left w:val="none" w:sz="0" w:space="0" w:color="auto"/>
                    <w:bottom w:val="none" w:sz="0" w:space="0" w:color="auto"/>
                    <w:right w:val="none" w:sz="0" w:space="0" w:color="auto"/>
                  </w:divBdr>
                </w:div>
              </w:divsChild>
            </w:div>
            <w:div w:id="1325622532">
              <w:marLeft w:val="0"/>
              <w:marRight w:val="0"/>
              <w:marTop w:val="0"/>
              <w:marBottom w:val="0"/>
              <w:divBdr>
                <w:top w:val="none" w:sz="0" w:space="0" w:color="auto"/>
                <w:left w:val="none" w:sz="0" w:space="0" w:color="auto"/>
                <w:bottom w:val="none" w:sz="0" w:space="0" w:color="auto"/>
                <w:right w:val="none" w:sz="0" w:space="0" w:color="auto"/>
              </w:divBdr>
              <w:divsChild>
                <w:div w:id="578952620">
                  <w:marLeft w:val="0"/>
                  <w:marRight w:val="0"/>
                  <w:marTop w:val="0"/>
                  <w:marBottom w:val="120"/>
                  <w:divBdr>
                    <w:top w:val="none" w:sz="0" w:space="0" w:color="auto"/>
                    <w:left w:val="none" w:sz="0" w:space="0" w:color="auto"/>
                    <w:bottom w:val="none" w:sz="0" w:space="0" w:color="auto"/>
                    <w:right w:val="none" w:sz="0" w:space="0" w:color="auto"/>
                  </w:divBdr>
                </w:div>
                <w:div w:id="1107508729">
                  <w:marLeft w:val="0"/>
                  <w:marRight w:val="0"/>
                  <w:marTop w:val="0"/>
                  <w:marBottom w:val="240"/>
                  <w:divBdr>
                    <w:top w:val="none" w:sz="0" w:space="0" w:color="auto"/>
                    <w:left w:val="none" w:sz="0" w:space="0" w:color="auto"/>
                    <w:bottom w:val="none" w:sz="0" w:space="0" w:color="auto"/>
                    <w:right w:val="none" w:sz="0" w:space="0" w:color="auto"/>
                  </w:divBdr>
                </w:div>
                <w:div w:id="554925724">
                  <w:marLeft w:val="0"/>
                  <w:marRight w:val="0"/>
                  <w:marTop w:val="300"/>
                  <w:marBottom w:val="0"/>
                  <w:divBdr>
                    <w:top w:val="none" w:sz="0" w:space="0" w:color="auto"/>
                    <w:left w:val="none" w:sz="0" w:space="0" w:color="auto"/>
                    <w:bottom w:val="none" w:sz="0" w:space="0" w:color="auto"/>
                    <w:right w:val="none" w:sz="0" w:space="0" w:color="auto"/>
                  </w:divBdr>
                </w:div>
              </w:divsChild>
            </w:div>
            <w:div w:id="1958366175">
              <w:marLeft w:val="0"/>
              <w:marRight w:val="0"/>
              <w:marTop w:val="0"/>
              <w:marBottom w:val="0"/>
              <w:divBdr>
                <w:top w:val="none" w:sz="0" w:space="0" w:color="auto"/>
                <w:left w:val="none" w:sz="0" w:space="0" w:color="auto"/>
                <w:bottom w:val="none" w:sz="0" w:space="0" w:color="auto"/>
                <w:right w:val="none" w:sz="0" w:space="0" w:color="auto"/>
              </w:divBdr>
              <w:divsChild>
                <w:div w:id="62796592">
                  <w:marLeft w:val="0"/>
                  <w:marRight w:val="0"/>
                  <w:marTop w:val="0"/>
                  <w:marBottom w:val="120"/>
                  <w:divBdr>
                    <w:top w:val="none" w:sz="0" w:space="0" w:color="auto"/>
                    <w:left w:val="none" w:sz="0" w:space="0" w:color="auto"/>
                    <w:bottom w:val="none" w:sz="0" w:space="0" w:color="auto"/>
                    <w:right w:val="none" w:sz="0" w:space="0" w:color="auto"/>
                  </w:divBdr>
                </w:div>
                <w:div w:id="751707865">
                  <w:marLeft w:val="0"/>
                  <w:marRight w:val="0"/>
                  <w:marTop w:val="0"/>
                  <w:marBottom w:val="240"/>
                  <w:divBdr>
                    <w:top w:val="none" w:sz="0" w:space="0" w:color="auto"/>
                    <w:left w:val="none" w:sz="0" w:space="0" w:color="auto"/>
                    <w:bottom w:val="none" w:sz="0" w:space="0" w:color="auto"/>
                    <w:right w:val="none" w:sz="0" w:space="0" w:color="auto"/>
                  </w:divBdr>
                </w:div>
              </w:divsChild>
            </w:div>
            <w:div w:id="116680260">
              <w:marLeft w:val="0"/>
              <w:marRight w:val="0"/>
              <w:marTop w:val="0"/>
              <w:marBottom w:val="0"/>
              <w:divBdr>
                <w:top w:val="none" w:sz="0" w:space="0" w:color="auto"/>
                <w:left w:val="none" w:sz="0" w:space="0" w:color="auto"/>
                <w:bottom w:val="none" w:sz="0" w:space="0" w:color="auto"/>
                <w:right w:val="none" w:sz="0" w:space="0" w:color="auto"/>
              </w:divBdr>
              <w:divsChild>
                <w:div w:id="1003052258">
                  <w:marLeft w:val="0"/>
                  <w:marRight w:val="0"/>
                  <w:marTop w:val="0"/>
                  <w:marBottom w:val="120"/>
                  <w:divBdr>
                    <w:top w:val="none" w:sz="0" w:space="0" w:color="auto"/>
                    <w:left w:val="none" w:sz="0" w:space="0" w:color="auto"/>
                    <w:bottom w:val="none" w:sz="0" w:space="0" w:color="auto"/>
                    <w:right w:val="none" w:sz="0" w:space="0" w:color="auto"/>
                  </w:divBdr>
                </w:div>
                <w:div w:id="1385332285">
                  <w:marLeft w:val="0"/>
                  <w:marRight w:val="0"/>
                  <w:marTop w:val="0"/>
                  <w:marBottom w:val="240"/>
                  <w:divBdr>
                    <w:top w:val="none" w:sz="0" w:space="0" w:color="auto"/>
                    <w:left w:val="none" w:sz="0" w:space="0" w:color="auto"/>
                    <w:bottom w:val="none" w:sz="0" w:space="0" w:color="auto"/>
                    <w:right w:val="none" w:sz="0" w:space="0" w:color="auto"/>
                  </w:divBdr>
                </w:div>
              </w:divsChild>
            </w:div>
            <w:div w:id="174001116">
              <w:marLeft w:val="0"/>
              <w:marRight w:val="0"/>
              <w:marTop w:val="0"/>
              <w:marBottom w:val="0"/>
              <w:divBdr>
                <w:top w:val="none" w:sz="0" w:space="0" w:color="auto"/>
                <w:left w:val="none" w:sz="0" w:space="0" w:color="auto"/>
                <w:bottom w:val="none" w:sz="0" w:space="0" w:color="auto"/>
                <w:right w:val="none" w:sz="0" w:space="0" w:color="auto"/>
              </w:divBdr>
              <w:divsChild>
                <w:div w:id="1588270942">
                  <w:marLeft w:val="0"/>
                  <w:marRight w:val="0"/>
                  <w:marTop w:val="0"/>
                  <w:marBottom w:val="120"/>
                  <w:divBdr>
                    <w:top w:val="none" w:sz="0" w:space="0" w:color="auto"/>
                    <w:left w:val="none" w:sz="0" w:space="0" w:color="auto"/>
                    <w:bottom w:val="none" w:sz="0" w:space="0" w:color="auto"/>
                    <w:right w:val="none" w:sz="0" w:space="0" w:color="auto"/>
                  </w:divBdr>
                </w:div>
                <w:div w:id="2131506490">
                  <w:marLeft w:val="0"/>
                  <w:marRight w:val="0"/>
                  <w:marTop w:val="0"/>
                  <w:marBottom w:val="240"/>
                  <w:divBdr>
                    <w:top w:val="none" w:sz="0" w:space="0" w:color="auto"/>
                    <w:left w:val="none" w:sz="0" w:space="0" w:color="auto"/>
                    <w:bottom w:val="none" w:sz="0" w:space="0" w:color="auto"/>
                    <w:right w:val="none" w:sz="0" w:space="0" w:color="auto"/>
                  </w:divBdr>
                </w:div>
              </w:divsChild>
            </w:div>
            <w:div w:id="466510263">
              <w:marLeft w:val="0"/>
              <w:marRight w:val="0"/>
              <w:marTop w:val="0"/>
              <w:marBottom w:val="0"/>
              <w:divBdr>
                <w:top w:val="none" w:sz="0" w:space="0" w:color="auto"/>
                <w:left w:val="none" w:sz="0" w:space="0" w:color="auto"/>
                <w:bottom w:val="none" w:sz="0" w:space="0" w:color="auto"/>
                <w:right w:val="none" w:sz="0" w:space="0" w:color="auto"/>
              </w:divBdr>
              <w:divsChild>
                <w:div w:id="2056656550">
                  <w:marLeft w:val="0"/>
                  <w:marRight w:val="0"/>
                  <w:marTop w:val="0"/>
                  <w:marBottom w:val="120"/>
                  <w:divBdr>
                    <w:top w:val="none" w:sz="0" w:space="0" w:color="auto"/>
                    <w:left w:val="none" w:sz="0" w:space="0" w:color="auto"/>
                    <w:bottom w:val="none" w:sz="0" w:space="0" w:color="auto"/>
                    <w:right w:val="none" w:sz="0" w:space="0" w:color="auto"/>
                  </w:divBdr>
                </w:div>
                <w:div w:id="1630555152">
                  <w:marLeft w:val="0"/>
                  <w:marRight w:val="0"/>
                  <w:marTop w:val="0"/>
                  <w:marBottom w:val="240"/>
                  <w:divBdr>
                    <w:top w:val="none" w:sz="0" w:space="0" w:color="auto"/>
                    <w:left w:val="none" w:sz="0" w:space="0" w:color="auto"/>
                    <w:bottom w:val="none" w:sz="0" w:space="0" w:color="auto"/>
                    <w:right w:val="none" w:sz="0" w:space="0" w:color="auto"/>
                  </w:divBdr>
                </w:div>
              </w:divsChild>
            </w:div>
            <w:div w:id="84619459">
              <w:marLeft w:val="0"/>
              <w:marRight w:val="0"/>
              <w:marTop w:val="0"/>
              <w:marBottom w:val="0"/>
              <w:divBdr>
                <w:top w:val="none" w:sz="0" w:space="0" w:color="auto"/>
                <w:left w:val="none" w:sz="0" w:space="0" w:color="auto"/>
                <w:bottom w:val="none" w:sz="0" w:space="0" w:color="auto"/>
                <w:right w:val="none" w:sz="0" w:space="0" w:color="auto"/>
              </w:divBdr>
              <w:divsChild>
                <w:div w:id="1465390242">
                  <w:marLeft w:val="0"/>
                  <w:marRight w:val="0"/>
                  <w:marTop w:val="0"/>
                  <w:marBottom w:val="120"/>
                  <w:divBdr>
                    <w:top w:val="none" w:sz="0" w:space="0" w:color="auto"/>
                    <w:left w:val="none" w:sz="0" w:space="0" w:color="auto"/>
                    <w:bottom w:val="none" w:sz="0" w:space="0" w:color="auto"/>
                    <w:right w:val="none" w:sz="0" w:space="0" w:color="auto"/>
                  </w:divBdr>
                </w:div>
                <w:div w:id="626200454">
                  <w:marLeft w:val="0"/>
                  <w:marRight w:val="0"/>
                  <w:marTop w:val="0"/>
                  <w:marBottom w:val="240"/>
                  <w:divBdr>
                    <w:top w:val="none" w:sz="0" w:space="0" w:color="auto"/>
                    <w:left w:val="none" w:sz="0" w:space="0" w:color="auto"/>
                    <w:bottom w:val="none" w:sz="0" w:space="0" w:color="auto"/>
                    <w:right w:val="none" w:sz="0" w:space="0" w:color="auto"/>
                  </w:divBdr>
                </w:div>
              </w:divsChild>
            </w:div>
            <w:div w:id="42413243">
              <w:marLeft w:val="0"/>
              <w:marRight w:val="0"/>
              <w:marTop w:val="0"/>
              <w:marBottom w:val="0"/>
              <w:divBdr>
                <w:top w:val="none" w:sz="0" w:space="0" w:color="auto"/>
                <w:left w:val="none" w:sz="0" w:space="0" w:color="auto"/>
                <w:bottom w:val="none" w:sz="0" w:space="0" w:color="auto"/>
                <w:right w:val="none" w:sz="0" w:space="0" w:color="auto"/>
              </w:divBdr>
              <w:divsChild>
                <w:div w:id="846410137">
                  <w:marLeft w:val="0"/>
                  <w:marRight w:val="0"/>
                  <w:marTop w:val="0"/>
                  <w:marBottom w:val="120"/>
                  <w:divBdr>
                    <w:top w:val="none" w:sz="0" w:space="0" w:color="auto"/>
                    <w:left w:val="none" w:sz="0" w:space="0" w:color="auto"/>
                    <w:bottom w:val="none" w:sz="0" w:space="0" w:color="auto"/>
                    <w:right w:val="none" w:sz="0" w:space="0" w:color="auto"/>
                  </w:divBdr>
                </w:div>
                <w:div w:id="220098726">
                  <w:marLeft w:val="0"/>
                  <w:marRight w:val="0"/>
                  <w:marTop w:val="0"/>
                  <w:marBottom w:val="240"/>
                  <w:divBdr>
                    <w:top w:val="none" w:sz="0" w:space="0" w:color="auto"/>
                    <w:left w:val="none" w:sz="0" w:space="0" w:color="auto"/>
                    <w:bottom w:val="none" w:sz="0" w:space="0" w:color="auto"/>
                    <w:right w:val="none" w:sz="0" w:space="0" w:color="auto"/>
                  </w:divBdr>
                </w:div>
                <w:div w:id="8249040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91711_01/PDF/MDM-SGG_Business_User_Guide_v2_2_0_2.pdf"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3C6C8511609694697E1E987B55B80D3" ma:contentTypeVersion="5" ma:contentTypeDescription="Create a new document." ma:contentTypeScope="" ma:versionID="9148b8c6de8accfb124386132f9fa65b">
  <xsd:schema xmlns:xsd="http://www.w3.org/2001/XMLSchema" xmlns:xs="http://www.w3.org/2001/XMLSchema" xmlns:p="http://schemas.microsoft.com/office/2006/metadata/properties" xmlns:ns2="4b98e2dd-311e-407e-b3f1-abfd7d4148e7" targetNamespace="http://schemas.microsoft.com/office/2006/metadata/properties" ma:root="true" ma:fieldsID="13f7c253643dfda381dc775d6be3135b" ns2:_="">
    <xsd:import namespace="4b98e2dd-311e-407e-b3f1-abfd7d4148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98e2dd-311e-407e-b3f1-abfd7d4148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16A094-96D0-4A43-8E2B-0808ECC3DEA1}">
  <ds:schemaRefs>
    <ds:schemaRef ds:uri="http://schemas.openxmlformats.org/officeDocument/2006/bibliography"/>
  </ds:schemaRefs>
</ds:datastoreItem>
</file>

<file path=customXml/itemProps2.xml><?xml version="1.0" encoding="utf-8"?>
<ds:datastoreItem xmlns:ds="http://schemas.openxmlformats.org/officeDocument/2006/customXml" ds:itemID="{C8A223CD-EE5C-4024-9DDC-81AAC735C043}"/>
</file>

<file path=customXml/itemProps3.xml><?xml version="1.0" encoding="utf-8"?>
<ds:datastoreItem xmlns:ds="http://schemas.openxmlformats.org/officeDocument/2006/customXml" ds:itemID="{B0221029-11CE-4D86-BA80-4797FACAC5A8}"/>
</file>

<file path=customXml/itemProps4.xml><?xml version="1.0" encoding="utf-8"?>
<ds:datastoreItem xmlns:ds="http://schemas.openxmlformats.org/officeDocument/2006/customXml" ds:itemID="{649A9783-DE36-4B8D-9C32-8705EBDCE771}"/>
</file>

<file path=docProps/app.xml><?xml version="1.0" encoding="utf-8"?>
<Properties xmlns="http://schemas.openxmlformats.org/officeDocument/2006/extended-properties" xmlns:vt="http://schemas.openxmlformats.org/officeDocument/2006/docPropsVTypes">
  <Template>Normal</Template>
  <TotalTime>671</TotalTime>
  <Pages>4</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Nevzat Timurtas (Cloud Enterprise Platforms – CEP)</dc:creator>
  <cp:keywords/>
  <dc:description/>
  <cp:lastModifiedBy>Nevzat Timurtas (Cloud Enterprise Platforms – CEP)</cp:lastModifiedBy>
  <cp:revision>7</cp:revision>
  <dcterms:created xsi:type="dcterms:W3CDTF">2020-04-23T19:47:00Z</dcterms:created>
  <dcterms:modified xsi:type="dcterms:W3CDTF">2020-04-24T16:10:00Z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NE300024@wipro.com</vt:lpwstr>
  </property>
  <property fmtid="{D5CDD505-2E9C-101B-9397-08002B2CF9AE}" pid="5" name="MSIP_Label_b9a70571-31c6-4603-80c1-ef2fb871a62a_SetDate">
    <vt:lpwstr>2020-04-23T21:20:16.8085345Z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30f49063-86ff-4bb9-a5bc-a831baa20b1f</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0x01010003C6C8511609694697E1E987B55B80D3</vt:lpwstr>
  </property>
</Properties>
</file>