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 Leakage QMR — Problem → Fix → Impact</w:t>
      </w:r>
    </w:p>
    <w:p>
      <w:r>
        <w:t>Problem: 466 transactions were flagged as out-of-tolerance between transaction_amt and reported_amt. Mismatch rate is 18.64%. Potential under-reported revenue total: 262,584.41.</w:t>
      </w:r>
    </w:p>
    <w:p>
      <w:r>
        <w:t>Fix (QMR process improvements):</w:t>
      </w:r>
    </w:p>
    <w:p>
      <w:r>
        <w:t>• Enforce automated tolerance checks at ingestion (abs + pct threshold).</w:t>
      </w:r>
    </w:p>
    <w:p>
      <w:r>
        <w:t>• Require exception workflow for mismatched invoices (customer + invoice + currency).</w:t>
      </w:r>
    </w:p>
    <w:p>
      <w:r>
        <w:t>• Add reconciliation controls: compare ledger booking vs reporting extraction daily.</w:t>
      </w:r>
    </w:p>
    <w:p>
      <w:r>
        <w:t>• Track root causes: timing mismatch, currency conversion, unit/rounding differences.</w:t>
      </w:r>
    </w:p>
    <w:p>
      <w:r>
        <w:t>Impact:</w:t>
      </w:r>
    </w:p>
    <w:p>
      <w:r>
        <w:t>• Faster detection of revenue leakage prior to month-end close. • Improved reporting accuracy and auditability with repeatable validation rules. • Expected recovery proportional to under-reported delta (seeded mock data estimates: 262,584.41).</w:t>
      </w:r>
    </w:p>
    <w:p>
      <w:r>
        <w:br/>
        <w:t>Generated by revenue-leakage-qmr (portfolio demo).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