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ED69AA" w14:textId="77777777" w:rsidR="003729F6" w:rsidRDefault="00000000" w:rsidP="002C2F4B">
      <w:pPr>
        <w:spacing w:after="80"/>
      </w:pPr>
      <w:r>
        <w:rPr>
          <w:rFonts w:ascii="Arial" w:hAnsi="Arial"/>
          <w:b/>
          <w:color w:val="1E2640"/>
          <w:sz w:val="44"/>
        </w:rPr>
        <w:t>Career Trajectory Intelligence &amp; Retention Optimization at Palo Alto Networks</w:t>
      </w:r>
    </w:p>
    <w:p w14:paraId="0AD0A551" w14:textId="77777777" w:rsidR="00653F37" w:rsidRDefault="00000000" w:rsidP="00653F37">
      <w:pPr>
        <w:spacing w:after="0"/>
        <w:jc w:val="both"/>
        <w:rPr>
          <w:rFonts w:ascii="Arial" w:hAnsi="Arial"/>
          <w:i/>
          <w:color w:val="555555"/>
          <w:sz w:val="26"/>
        </w:rPr>
      </w:pPr>
      <w:r>
        <w:rPr>
          <w:rFonts w:ascii="Arial" w:hAnsi="Arial"/>
          <w:i/>
          <w:color w:val="555555"/>
          <w:sz w:val="26"/>
        </w:rPr>
        <w:t>An Unsupervised Machine Learning Framework and Empirical Stagnation Analysis for Strategic Workforce Management</w:t>
      </w:r>
    </w:p>
    <w:p w14:paraId="2D731A16" w14:textId="68C5E435" w:rsidR="00653F37" w:rsidRPr="00653F37" w:rsidRDefault="00653F37" w:rsidP="00653F37">
      <w:pPr>
        <w:spacing w:after="0"/>
        <w:jc w:val="both"/>
        <w:rPr>
          <w:rFonts w:ascii="Arial" w:hAnsi="Arial"/>
          <w:b/>
          <w:bCs/>
          <w:iCs/>
          <w:color w:val="555555"/>
          <w:sz w:val="18"/>
          <w:szCs w:val="14"/>
        </w:rPr>
      </w:pPr>
      <w:r w:rsidRPr="00653F37">
        <w:rPr>
          <w:rFonts w:ascii="Arial" w:hAnsi="Arial"/>
          <w:b/>
          <w:bCs/>
          <w:iCs/>
          <w:color w:val="555555"/>
          <w:sz w:val="18"/>
          <w:szCs w:val="14"/>
        </w:rPr>
        <w:t>Biswajeet Pradhan</w:t>
      </w:r>
    </w:p>
    <w:p w14:paraId="0B2EF150" w14:textId="6EE58812" w:rsidR="00653F37" w:rsidRPr="00653F37" w:rsidRDefault="00653F37" w:rsidP="00653F37">
      <w:pPr>
        <w:spacing w:after="0"/>
        <w:jc w:val="both"/>
        <w:rPr>
          <w:b/>
          <w:bCs/>
          <w:iCs/>
          <w:sz w:val="14"/>
          <w:szCs w:val="14"/>
        </w:rPr>
      </w:pPr>
      <w:r w:rsidRPr="00653F37">
        <w:rPr>
          <w:rFonts w:ascii="Arial" w:hAnsi="Arial"/>
          <w:b/>
          <w:bCs/>
          <w:iCs/>
          <w:color w:val="555555"/>
          <w:sz w:val="18"/>
          <w:szCs w:val="14"/>
        </w:rPr>
        <w:t>Biswajeetpradhan36933@gmail.com</w:t>
      </w:r>
    </w:p>
    <w:p w14:paraId="44D283A5" w14:textId="77777777" w:rsidR="00653F37" w:rsidRDefault="00653F37" w:rsidP="00653F37">
      <w:pPr>
        <w:spacing w:after="0"/>
        <w:jc w:val="both"/>
        <w:rPr>
          <w:rFonts w:ascii="Calibri" w:hAnsi="Calibri"/>
          <w:b/>
          <w:color w:val="777777"/>
          <w:sz w:val="19"/>
        </w:rPr>
      </w:pPr>
    </w:p>
    <w:p w14:paraId="266057EA" w14:textId="0DFEEEF9" w:rsidR="00653F37" w:rsidRDefault="00653F37" w:rsidP="002C2F4B">
      <w:pPr>
        <w:spacing w:after="400"/>
        <w:jc w:val="both"/>
        <w:rPr>
          <w:rFonts w:ascii="Calibri" w:hAnsi="Calibri"/>
          <w:b/>
          <w:color w:val="777777"/>
          <w:sz w:val="19"/>
        </w:rPr>
        <w:sectPr w:rsidR="00653F37" w:rsidSect="002C2F4B">
          <w:pgSz w:w="12240" w:h="15840"/>
          <w:pgMar w:top="1440" w:right="1440" w:bottom="1440" w:left="1440" w:header="720" w:footer="720" w:gutter="0"/>
          <w:cols w:space="720"/>
          <w:docGrid w:linePitch="360"/>
        </w:sectPr>
      </w:pPr>
    </w:p>
    <w:p w14:paraId="7B607007" w14:textId="77777777" w:rsidR="003729F6" w:rsidRDefault="00000000" w:rsidP="002C2F4B">
      <w:pPr>
        <w:spacing w:after="400"/>
        <w:jc w:val="both"/>
      </w:pPr>
      <w:r>
        <w:rPr>
          <w:rFonts w:ascii="Calibri" w:hAnsi="Calibri"/>
          <w:b/>
          <w:color w:val="777777"/>
          <w:sz w:val="19"/>
        </w:rPr>
        <w:t>Author: Strategic Workforce Analytics Group | Organization: Palo Alto Networks</w:t>
      </w:r>
      <w:r>
        <w:rPr>
          <w:rFonts w:ascii="Calibri" w:hAnsi="Calibri"/>
          <w:b/>
          <w:color w:val="777777"/>
          <w:sz w:val="19"/>
        </w:rPr>
        <w:br/>
        <w:t>Domain: Human Capital Analytics &amp; Unsupervised Machine Learning | Target: Executive HR Leadership</w:t>
      </w:r>
    </w:p>
    <w:tbl>
      <w:tblPr>
        <w:tblW w:w="0" w:type="auto"/>
        <w:jc w:val="center"/>
        <w:tblLook w:val="04A0" w:firstRow="1" w:lastRow="0" w:firstColumn="1" w:lastColumn="0" w:noHBand="0" w:noVBand="1"/>
      </w:tblPr>
      <w:tblGrid>
        <w:gridCol w:w="4720"/>
      </w:tblGrid>
      <w:tr w:rsidR="003729F6" w14:paraId="222FEDC6" w14:textId="77777777" w:rsidTr="002C2F4B">
        <w:trPr>
          <w:jc w:val="center"/>
        </w:trPr>
        <w:tc>
          <w:tcPr>
            <w:tcW w:w="4720" w:type="dxa"/>
            <w:tcBorders>
              <w:left w:val="single" w:sz="24" w:space="0" w:color="1E2640"/>
            </w:tcBorders>
            <w:shd w:val="clear" w:color="auto" w:fill="F2F4F8"/>
            <w:tcMar>
              <w:top w:w="140" w:type="dxa"/>
              <w:left w:w="200" w:type="dxa"/>
              <w:bottom w:w="140" w:type="dxa"/>
              <w:right w:w="200" w:type="dxa"/>
            </w:tcMar>
          </w:tcPr>
          <w:p w14:paraId="2344D1C3" w14:textId="77777777" w:rsidR="003729F6" w:rsidRDefault="00000000" w:rsidP="002C2F4B">
            <w:pPr>
              <w:spacing w:after="80"/>
              <w:jc w:val="both"/>
            </w:pPr>
            <w:r>
              <w:rPr>
                <w:rFonts w:ascii="Arial" w:hAnsi="Arial"/>
                <w:b/>
                <w:color w:val="1E2640"/>
              </w:rPr>
              <w:t>EXECUTIVE ABSTRACT</w:t>
            </w:r>
            <w:r>
              <w:rPr>
                <w:rFonts w:ascii="Arial" w:hAnsi="Arial"/>
                <w:b/>
                <w:color w:val="1E2640"/>
              </w:rPr>
              <w:br/>
            </w:r>
            <w:r>
              <w:rPr>
                <w:rFonts w:ascii="Calibri" w:hAnsi="Calibri"/>
                <w:i/>
                <w:color w:val="222222"/>
                <w:sz w:val="21"/>
              </w:rPr>
              <w:t xml:space="preserve">Traditional workforce retention models operate reactively by predicting binary employee attrition. However, binary classification fails to explain why structural disengagement occurs or how career stagnation drives voluntary turnover. This research paper presents a comprehensive workforce analytics framework deployed at Palo Alto Networks, combining unsupervised K-Means clustering, domain-specific feature engineering, and an interactive executive intelligence application (app.py). By evaluating N = 1,470 employee records across 45 feature dimensions, we uncover structural promotion gap cliffs, role stagnation thresholds, and managerial continuity dynamics. Our empirical analysis identifies four distinct trajectory archetypes: Early-Career Explorers (48.98% of workforce, 21.11% attrition), Fast-Track High Performers (13.33% of workforce, 18.88% attrition), Role-Stagnant Mid-Level (22.93% of workforce, 8.90% attrition), and Tenured &amp; Stalled Seniors (14.76% of workforce, 8.29% attrition). Furthermore, we establish a Retention Opportunity Panel for N = 1,233 active employees, identifying 493 staff requiring immediate promotion/compensation review and 471 candidates suited for lateral role rotations. This study transitions organizational HR strategy </w:t>
            </w:r>
            <w:r>
              <w:rPr>
                <w:rFonts w:ascii="Calibri" w:hAnsi="Calibri"/>
                <w:i/>
                <w:color w:val="222222"/>
                <w:sz w:val="21"/>
              </w:rPr>
              <w:t>from reactive turnover mitigation to proactive, career-centric workforce optimization.</w:t>
            </w:r>
          </w:p>
        </w:tc>
      </w:tr>
    </w:tbl>
    <w:p w14:paraId="23C186CB" w14:textId="77777777" w:rsidR="003729F6" w:rsidRDefault="003729F6" w:rsidP="002C2F4B">
      <w:pPr>
        <w:spacing w:after="120"/>
        <w:jc w:val="both"/>
      </w:pPr>
    </w:p>
    <w:p w14:paraId="525CE69F" w14:textId="77777777" w:rsidR="003729F6" w:rsidRDefault="00000000" w:rsidP="002C2F4B">
      <w:pPr>
        <w:keepNext/>
        <w:spacing w:before="400" w:after="160"/>
        <w:jc w:val="both"/>
      </w:pPr>
      <w:r>
        <w:rPr>
          <w:rFonts w:ascii="Arial" w:hAnsi="Arial"/>
          <w:b/>
          <w:color w:val="1E2640"/>
          <w:sz w:val="32"/>
        </w:rPr>
        <w:t>1. Introduction &amp; Organizational Background</w:t>
      </w:r>
    </w:p>
    <w:p w14:paraId="51084989" w14:textId="77777777" w:rsidR="003729F6" w:rsidRDefault="00000000" w:rsidP="002C2F4B">
      <w:pPr>
        <w:spacing w:after="120"/>
        <w:jc w:val="both"/>
      </w:pPr>
      <w:r>
        <w:rPr>
          <w:rFonts w:ascii="Calibri" w:hAnsi="Calibri"/>
          <w:color w:val="333333"/>
        </w:rPr>
        <w:t>In high-technology enterprises such as Palo Alto Networks, human capital represents the primary driver of competitive advantage, intellectual property creation, and cybersecurity operational excellence. The market for senior software engineers, cybersecurity researchers, systems architects, and technical sales leaders is characterized by intense external competition, aggressive talent poaching, and high replacement costs. Replacing a specialized cybersecurity engineer or senior engineering manager routinely incurs financial costs exceeding 1.5 to 2.0 times the employee's annual compensation, alongside qualitative losses in organizational domain knowledge, ongoing project velocity, and team cohesion.</w:t>
      </w:r>
    </w:p>
    <w:p w14:paraId="45F9FC90" w14:textId="77777777" w:rsidR="003729F6" w:rsidRDefault="00000000" w:rsidP="002C2F4B">
      <w:pPr>
        <w:spacing w:after="120"/>
        <w:jc w:val="both"/>
      </w:pPr>
      <w:r>
        <w:rPr>
          <w:rFonts w:ascii="Calibri" w:hAnsi="Calibri"/>
          <w:color w:val="333333"/>
        </w:rPr>
        <w:t xml:space="preserve">Despite significant investments in workplace benefits, competitive base salaries, and corporate wellness initiatives, technology organizations face continuous voluntary turnover. Historical approaches to workforce retention relied heavily on post-hoc exit interviews or traditional binary classification algorithms (e.g., logistic regression, decision </w:t>
      </w:r>
      <w:r>
        <w:rPr>
          <w:rFonts w:ascii="Calibri" w:hAnsi="Calibri"/>
          <w:color w:val="333333"/>
        </w:rPr>
        <w:lastRenderedPageBreak/>
        <w:t>trees, random forests) trained to predict whether an employee is likely to leave ('Attrition = 1'). While binary classification models can generate decent predictive accuracy metrics, they suffer from a fundamental strategic limitation: they function as diagnostic alarm bells without diagnosing the underlying structural root causes.</w:t>
      </w:r>
    </w:p>
    <w:p w14:paraId="225AFA74" w14:textId="77777777" w:rsidR="003729F6" w:rsidRDefault="00000000" w:rsidP="002C2F4B">
      <w:pPr>
        <w:spacing w:after="120"/>
        <w:jc w:val="both"/>
      </w:pPr>
      <w:r>
        <w:rPr>
          <w:rFonts w:ascii="Calibri" w:hAnsi="Calibri"/>
          <w:color w:val="333333"/>
        </w:rPr>
        <w:t>Predicting that an employee has a 78% probability of quitting within six months provides HR executives with minimal strategic leverage if the organization does not understand why the employee is disengaging. In practice, employees rarely decide to leave due to sudden, isolated disengagement; rather, voluntary turnover represents the culmination of prolonged structural career friction. Key structural drivers include extended gaps between promotions, role stagnation wherein employees spend an disproportionate fraction of their tenure in identical job roles, inadequate upskilling opportunities, and frequent disruptions in managerial continuity.</w:t>
      </w:r>
    </w:p>
    <w:p w14:paraId="1746FB53" w14:textId="77777777" w:rsidR="003729F6" w:rsidRDefault="00000000" w:rsidP="002C2F4B">
      <w:pPr>
        <w:spacing w:after="120"/>
        <w:jc w:val="both"/>
      </w:pPr>
      <w:r>
        <w:rPr>
          <w:rFonts w:ascii="Calibri" w:hAnsi="Calibri"/>
          <w:color w:val="333333"/>
        </w:rPr>
        <w:t>To address this strategic gap, Palo Alto Networks initiated the Career Progression and Promotion Gap Analysis project. This study introduces Career Trajectory Intelligence—a data science paradigm that shifts retention strategy from predicting binary exit decisions to diagnosing career health, uncovering structural promotion cliffs, and identifying active retention opportunities before employee disengagement becomes irreversible.</w:t>
      </w:r>
    </w:p>
    <w:p w14:paraId="1924680F" w14:textId="77777777" w:rsidR="003729F6" w:rsidRDefault="00000000" w:rsidP="002C2F4B">
      <w:pPr>
        <w:keepNext/>
        <w:spacing w:before="400" w:after="160"/>
        <w:jc w:val="both"/>
      </w:pPr>
      <w:r>
        <w:rPr>
          <w:rFonts w:ascii="Arial" w:hAnsi="Arial"/>
          <w:b/>
          <w:color w:val="1E2640"/>
          <w:sz w:val="32"/>
        </w:rPr>
        <w:t>2. Theoretical &amp; Conceptual Framework</w:t>
      </w:r>
    </w:p>
    <w:p w14:paraId="24B8D72D" w14:textId="77777777" w:rsidR="003729F6" w:rsidRDefault="00000000" w:rsidP="002C2F4B">
      <w:pPr>
        <w:spacing w:after="120"/>
        <w:jc w:val="both"/>
      </w:pPr>
      <w:r>
        <w:rPr>
          <w:rFonts w:ascii="Calibri" w:hAnsi="Calibri"/>
          <w:color w:val="333333"/>
        </w:rPr>
        <w:t xml:space="preserve">The design of our analytical pipeline and feature engineering framework is grounded in four foundational streams of organizational </w:t>
      </w:r>
      <w:r>
        <w:rPr>
          <w:rFonts w:ascii="Calibri" w:hAnsi="Calibri"/>
          <w:color w:val="333333"/>
        </w:rPr>
        <w:t>behavior, vocational psychology, and human capital theory:</w:t>
      </w:r>
    </w:p>
    <w:p w14:paraId="62239703" w14:textId="77777777" w:rsidR="003729F6" w:rsidRDefault="00000000" w:rsidP="002C2F4B">
      <w:pPr>
        <w:pStyle w:val="ListBullet"/>
        <w:spacing w:after="80"/>
        <w:jc w:val="both"/>
      </w:pPr>
      <w:r>
        <w:rPr>
          <w:rFonts w:ascii="Calibri" w:hAnsi="Calibri"/>
          <w:b/>
          <w:color w:val="1E2640"/>
        </w:rPr>
        <w:t xml:space="preserve">Super's Career Stage &amp; Life-Span Theory: </w:t>
      </w:r>
      <w:r>
        <w:rPr>
          <w:rFonts w:ascii="Calibri" w:hAnsi="Calibri"/>
          <w:color w:val="333333"/>
        </w:rPr>
        <w:t>Donald Super's framework posits that individuals progress through distinct vocational development stages (Exploration, Establishment, Maintenance, and Decline). Career satisfaction depends on alignment between an employee's organizational role, age, tenure, and expected velocity of professional advancement. Structural blockages during the Establishment phase induce severe psychological friction.</w:t>
      </w:r>
    </w:p>
    <w:p w14:paraId="0A653ABD" w14:textId="77777777" w:rsidR="003729F6" w:rsidRDefault="00000000" w:rsidP="002C2F4B">
      <w:pPr>
        <w:pStyle w:val="ListBullet"/>
        <w:spacing w:after="80"/>
        <w:jc w:val="both"/>
      </w:pPr>
      <w:r>
        <w:rPr>
          <w:rFonts w:ascii="Calibri" w:hAnsi="Calibri"/>
          <w:b/>
          <w:color w:val="1E2640"/>
        </w:rPr>
        <w:t xml:space="preserve">Adams' Equity &amp; Vroom's Expectancy Theory: </w:t>
      </w:r>
      <w:r>
        <w:rPr>
          <w:rFonts w:ascii="Calibri" w:hAnsi="Calibri"/>
          <w:color w:val="333333"/>
        </w:rPr>
        <w:t>According to Equity Theory, employees evaluate their inputs (tenure, effort, technical contributions) against organizational outputs (promotions, title progression, compensation increases) relative to internal peers. When the Promotion Gap Ratio (Years Since Promotion / Years at Company) scales disproportionately, employees perceive structural unfairness, suppressing motivation and escalating exit inclination.</w:t>
      </w:r>
    </w:p>
    <w:p w14:paraId="688B26AB" w14:textId="77777777" w:rsidR="003729F6" w:rsidRDefault="00000000" w:rsidP="002C2F4B">
      <w:pPr>
        <w:pStyle w:val="ListBullet"/>
        <w:spacing w:after="80"/>
        <w:jc w:val="both"/>
      </w:pPr>
      <w:r>
        <w:rPr>
          <w:rFonts w:ascii="Calibri" w:hAnsi="Calibri"/>
          <w:b/>
          <w:color w:val="1E2640"/>
        </w:rPr>
        <w:t xml:space="preserve">Psychological Contract &amp; Promotion Gap Cliffs: </w:t>
      </w:r>
      <w:r>
        <w:rPr>
          <w:rFonts w:ascii="Calibri" w:hAnsi="Calibri"/>
          <w:color w:val="333333"/>
        </w:rPr>
        <w:t>The implicit agreement between high-performing technology workers and their employer includes an expectation of career growth. Remaining in an identical role without title evolution or elevated responsibility for 3+ years creates a 'Promotion Freeze', breaking the psychological contract and precipitating voluntary departure.</w:t>
      </w:r>
    </w:p>
    <w:p w14:paraId="3D576F4C" w14:textId="77777777" w:rsidR="003729F6" w:rsidRDefault="00000000" w:rsidP="002C2F4B">
      <w:pPr>
        <w:pStyle w:val="ListBullet"/>
        <w:spacing w:after="80"/>
        <w:jc w:val="both"/>
      </w:pPr>
      <w:r>
        <w:rPr>
          <w:rFonts w:ascii="Calibri" w:hAnsi="Calibri"/>
          <w:b/>
          <w:color w:val="1E2640"/>
        </w:rPr>
        <w:t xml:space="preserve">Leader-Member Exchange (LMX) &amp; Managerial Continuity: </w:t>
      </w:r>
      <w:r>
        <w:rPr>
          <w:rFonts w:ascii="Calibri" w:hAnsi="Calibri"/>
          <w:color w:val="333333"/>
        </w:rPr>
        <w:t xml:space="preserve">LMX theory emphasizes the quality of the interpersonal relationship between employees and their immediate supervisors. High managerial </w:t>
      </w:r>
      <w:r>
        <w:rPr>
          <w:rFonts w:ascii="Calibri" w:hAnsi="Calibri"/>
          <w:color w:val="333333"/>
        </w:rPr>
        <w:lastRenderedPageBreak/>
        <w:t>turnover or frequent structural realignments reset LMX development back to the 'New Relationship' stage, stripping employees of advocacy during calibration cycles.</w:t>
      </w:r>
    </w:p>
    <w:p w14:paraId="5E559624" w14:textId="77777777" w:rsidR="003729F6" w:rsidRDefault="00000000" w:rsidP="002C2F4B">
      <w:pPr>
        <w:keepNext/>
        <w:spacing w:before="400" w:after="160"/>
        <w:jc w:val="both"/>
      </w:pPr>
      <w:r>
        <w:rPr>
          <w:rFonts w:ascii="Arial" w:hAnsi="Arial"/>
          <w:b/>
          <w:color w:val="1E2640"/>
          <w:sz w:val="32"/>
        </w:rPr>
        <w:t>3. Data Science Methodology &amp; Empirical Pipeline</w:t>
      </w:r>
    </w:p>
    <w:p w14:paraId="146DD3A0" w14:textId="77777777" w:rsidR="003729F6" w:rsidRDefault="00000000" w:rsidP="002C2F4B">
      <w:pPr>
        <w:spacing w:after="120"/>
        <w:jc w:val="both"/>
      </w:pPr>
      <w:r>
        <w:rPr>
          <w:rFonts w:ascii="Calibri" w:hAnsi="Calibri"/>
          <w:color w:val="333333"/>
        </w:rPr>
        <w:t>The analytical architecture utilizes a multi-stage data processing pipeline operating on N = 1,470 employee records across 45 demographic, performance, compensation, and tenure attributes. The data science pipeline executes feature engineering, scaling, unsupervised clustering, and rule-based intervention mapping.</w:t>
      </w:r>
    </w:p>
    <w:p w14:paraId="545C4DDB" w14:textId="77777777" w:rsidR="003729F6" w:rsidRDefault="00000000" w:rsidP="002C2F4B">
      <w:pPr>
        <w:keepNext/>
        <w:spacing w:before="280" w:after="120"/>
        <w:jc w:val="both"/>
      </w:pPr>
      <w:r>
        <w:rPr>
          <w:rFonts w:ascii="Arial" w:hAnsi="Arial"/>
          <w:b/>
          <w:color w:val="C0392B"/>
          <w:sz w:val="26"/>
        </w:rPr>
        <w:t>3.1 Feature Engineering &amp; Mathematical Formulations</w:t>
      </w:r>
    </w:p>
    <w:p w14:paraId="7423B541" w14:textId="77777777" w:rsidR="003729F6" w:rsidRDefault="00000000" w:rsidP="002C2F4B">
      <w:pPr>
        <w:spacing w:after="120"/>
        <w:jc w:val="both"/>
      </w:pPr>
      <w:r>
        <w:rPr>
          <w:rFonts w:ascii="Calibri" w:hAnsi="Calibri"/>
          <w:color w:val="333333"/>
        </w:rPr>
        <w:t>Raw HR metrics such as raw years at company or raw years since promotion fail to capture relative stagnation across varying tenure lengths. An employee waiting 3 years for a promotion after 3 years at a company faces severe stagnation (100% of tenure stagnant), whereas an employee waiting 3 years after 15 years represents a stable tenured contributor. To normalize these effects, we engineered four core domain metrics:</w:t>
      </w:r>
    </w:p>
    <w:p w14:paraId="18ED71A2" w14:textId="77777777" w:rsidR="003729F6" w:rsidRDefault="00000000" w:rsidP="002C2F4B">
      <w:pPr>
        <w:pStyle w:val="ListBullet"/>
        <w:spacing w:after="80"/>
        <w:jc w:val="both"/>
      </w:pPr>
      <w:r>
        <w:rPr>
          <w:rFonts w:ascii="Calibri" w:hAnsi="Calibri"/>
          <w:b/>
          <w:color w:val="1E2640"/>
        </w:rPr>
        <w:t xml:space="preserve">1. Promotion Gap Ratio (PGR): </w:t>
      </w:r>
      <w:r>
        <w:rPr>
          <w:rFonts w:ascii="Calibri" w:hAnsi="Calibri"/>
          <w:color w:val="333333"/>
        </w:rPr>
        <w:t>Measures the proportion of total company tenure spent waiting for the most recent promotion. Defined as:</w:t>
      </w:r>
    </w:p>
    <w:p w14:paraId="682D006F" w14:textId="77777777" w:rsidR="003729F6" w:rsidRDefault="00000000" w:rsidP="002C2F4B">
      <w:pPr>
        <w:spacing w:after="120"/>
        <w:jc w:val="both"/>
      </w:pPr>
      <w:r>
        <w:rPr>
          <w:rFonts w:ascii="Calibri" w:hAnsi="Calibri"/>
          <w:color w:val="333333"/>
        </w:rPr>
        <w:t xml:space="preserve">       PGR = YearsSinceLastPromotion / max(YearsAtCompany, 0.5)</w:t>
      </w:r>
    </w:p>
    <w:p w14:paraId="21767F16" w14:textId="77777777" w:rsidR="003729F6" w:rsidRDefault="00000000" w:rsidP="002C2F4B">
      <w:pPr>
        <w:pStyle w:val="ListBullet"/>
        <w:spacing w:after="80"/>
        <w:jc w:val="both"/>
      </w:pPr>
      <w:r>
        <w:rPr>
          <w:rFonts w:ascii="Calibri" w:hAnsi="Calibri"/>
          <w:b/>
          <w:color w:val="1E2640"/>
        </w:rPr>
        <w:t xml:space="preserve">2. Role Stagnation Index (RSI): </w:t>
      </w:r>
      <w:r>
        <w:rPr>
          <w:rFonts w:ascii="Calibri" w:hAnsi="Calibri"/>
          <w:color w:val="333333"/>
        </w:rPr>
        <w:t xml:space="preserve">Quantifies the fraction of company tenure spent stuck </w:t>
      </w:r>
      <w:r>
        <w:rPr>
          <w:rFonts w:ascii="Calibri" w:hAnsi="Calibri"/>
          <w:color w:val="333333"/>
        </w:rPr>
        <w:t>in the exact same job role without lateral transfer or vertical advancement. Defined as:</w:t>
      </w:r>
    </w:p>
    <w:p w14:paraId="59F643E2" w14:textId="77777777" w:rsidR="003729F6" w:rsidRDefault="00000000" w:rsidP="002C2F4B">
      <w:pPr>
        <w:spacing w:after="120"/>
        <w:jc w:val="both"/>
      </w:pPr>
      <w:r>
        <w:rPr>
          <w:rFonts w:ascii="Calibri" w:hAnsi="Calibri"/>
          <w:color w:val="333333"/>
        </w:rPr>
        <w:t xml:space="preserve">       RSI = YearsInCurrentRole / max(YearsAtCompany, 0.5)</w:t>
      </w:r>
    </w:p>
    <w:p w14:paraId="57972D96" w14:textId="77777777" w:rsidR="003729F6" w:rsidRDefault="00000000" w:rsidP="002C2F4B">
      <w:pPr>
        <w:pStyle w:val="ListBullet"/>
        <w:spacing w:after="80"/>
        <w:jc w:val="both"/>
      </w:pPr>
      <w:r>
        <w:rPr>
          <w:rFonts w:ascii="Calibri" w:hAnsi="Calibri"/>
          <w:b/>
          <w:color w:val="1E2640"/>
        </w:rPr>
        <w:t xml:space="preserve">3. Training Intensity Score (TIS): </w:t>
      </w:r>
      <w:r>
        <w:rPr>
          <w:rFonts w:ascii="Calibri" w:hAnsi="Calibri"/>
          <w:color w:val="333333"/>
        </w:rPr>
        <w:t>Measures annual training participation relative to company tenure, tracking organizational investment in employee upskilling. Defined as:</w:t>
      </w:r>
    </w:p>
    <w:p w14:paraId="5DBCB054" w14:textId="77777777" w:rsidR="003729F6" w:rsidRDefault="00000000" w:rsidP="002C2F4B">
      <w:pPr>
        <w:spacing w:after="120"/>
        <w:jc w:val="both"/>
      </w:pPr>
      <w:r>
        <w:rPr>
          <w:rFonts w:ascii="Calibri" w:hAnsi="Calibri"/>
          <w:color w:val="333333"/>
        </w:rPr>
        <w:t xml:space="preserve">       TIS = TrainingTimesLastYear / max(YearsAtCompany, 0.5)</w:t>
      </w:r>
    </w:p>
    <w:p w14:paraId="2AC56261" w14:textId="77777777" w:rsidR="003729F6" w:rsidRDefault="00000000" w:rsidP="002C2F4B">
      <w:pPr>
        <w:pStyle w:val="ListBullet"/>
        <w:spacing w:after="80"/>
        <w:jc w:val="both"/>
      </w:pPr>
      <w:r>
        <w:rPr>
          <w:rFonts w:ascii="Calibri" w:hAnsi="Calibri"/>
          <w:b/>
          <w:color w:val="1E2640"/>
        </w:rPr>
        <w:t xml:space="preserve">4. Manager Stability Indicator (MSI): </w:t>
      </w:r>
      <w:r>
        <w:rPr>
          <w:rFonts w:ascii="Calibri" w:hAnsi="Calibri"/>
          <w:color w:val="333333"/>
        </w:rPr>
        <w:t>Categorizes managerial relationship duration into four distinct organizational stability tiers:</w:t>
      </w:r>
    </w:p>
    <w:p w14:paraId="715BF13C" w14:textId="77777777" w:rsidR="003729F6" w:rsidRDefault="00000000" w:rsidP="002C2F4B">
      <w:pPr>
        <w:pStyle w:val="ListBullet"/>
        <w:spacing w:after="80"/>
        <w:jc w:val="both"/>
      </w:pPr>
      <w:r>
        <w:rPr>
          <w:rFonts w:ascii="Calibri" w:hAnsi="Calibri"/>
          <w:b/>
          <w:color w:val="1E2640"/>
        </w:rPr>
        <w:t xml:space="preserve">   - New Relationship: </w:t>
      </w:r>
      <w:r>
        <w:rPr>
          <w:rFonts w:ascii="Calibri" w:hAnsi="Calibri"/>
          <w:color w:val="333333"/>
        </w:rPr>
        <w:t>Years With Current Manager &lt; 1.0 Year</w:t>
      </w:r>
    </w:p>
    <w:p w14:paraId="6F428E5E" w14:textId="77777777" w:rsidR="003729F6" w:rsidRDefault="00000000" w:rsidP="002C2F4B">
      <w:pPr>
        <w:pStyle w:val="ListBullet"/>
        <w:spacing w:after="80"/>
        <w:jc w:val="both"/>
      </w:pPr>
      <w:r>
        <w:rPr>
          <w:rFonts w:ascii="Calibri" w:hAnsi="Calibri"/>
          <w:b/>
          <w:color w:val="1E2640"/>
        </w:rPr>
        <w:t xml:space="preserve">   - Developing: </w:t>
      </w:r>
      <w:r>
        <w:rPr>
          <w:rFonts w:ascii="Calibri" w:hAnsi="Calibri"/>
          <w:color w:val="333333"/>
        </w:rPr>
        <w:t>1.0 &lt;= Years With Current Manager &lt;= 3.0 Years</w:t>
      </w:r>
    </w:p>
    <w:p w14:paraId="675CAADA" w14:textId="77777777" w:rsidR="003729F6" w:rsidRDefault="00000000" w:rsidP="002C2F4B">
      <w:pPr>
        <w:pStyle w:val="ListBullet"/>
        <w:spacing w:after="80"/>
        <w:jc w:val="both"/>
      </w:pPr>
      <w:r>
        <w:rPr>
          <w:rFonts w:ascii="Calibri" w:hAnsi="Calibri"/>
          <w:b/>
          <w:color w:val="1E2640"/>
        </w:rPr>
        <w:t xml:space="preserve">   - Stable: </w:t>
      </w:r>
      <w:r>
        <w:rPr>
          <w:rFonts w:ascii="Calibri" w:hAnsi="Calibri"/>
          <w:color w:val="333333"/>
        </w:rPr>
        <w:t>3.0 &lt; Years With Current Manager &lt;= 6.0 Years</w:t>
      </w:r>
    </w:p>
    <w:p w14:paraId="69134D07" w14:textId="77777777" w:rsidR="003729F6" w:rsidRDefault="00000000" w:rsidP="002C2F4B">
      <w:pPr>
        <w:pStyle w:val="ListBullet"/>
        <w:spacing w:after="80"/>
        <w:jc w:val="both"/>
      </w:pPr>
      <w:r>
        <w:rPr>
          <w:rFonts w:ascii="Calibri" w:hAnsi="Calibri"/>
          <w:b/>
          <w:color w:val="1E2640"/>
        </w:rPr>
        <w:t xml:space="preserve">   - Highly Stable: </w:t>
      </w:r>
      <w:r>
        <w:rPr>
          <w:rFonts w:ascii="Calibri" w:hAnsi="Calibri"/>
          <w:color w:val="333333"/>
        </w:rPr>
        <w:t>Years With Current Manager &gt; 6.0 Years</w:t>
      </w:r>
    </w:p>
    <w:p w14:paraId="247EEB99" w14:textId="77777777" w:rsidR="003729F6" w:rsidRDefault="00000000" w:rsidP="002C2F4B">
      <w:pPr>
        <w:keepNext/>
        <w:spacing w:before="280" w:after="120"/>
        <w:jc w:val="both"/>
      </w:pPr>
      <w:r>
        <w:rPr>
          <w:rFonts w:ascii="Arial" w:hAnsi="Arial"/>
          <w:b/>
          <w:color w:val="C0392B"/>
          <w:sz w:val="26"/>
        </w:rPr>
        <w:t>3.2 Unsupervised K-Means Clustering Framework</w:t>
      </w:r>
    </w:p>
    <w:p w14:paraId="34210F32" w14:textId="77777777" w:rsidR="003729F6" w:rsidRDefault="00000000" w:rsidP="002C2F4B">
      <w:pPr>
        <w:spacing w:after="120"/>
        <w:jc w:val="both"/>
      </w:pPr>
      <w:r>
        <w:rPr>
          <w:rFonts w:ascii="Calibri" w:hAnsi="Calibri"/>
          <w:color w:val="333333"/>
        </w:rPr>
        <w:t>To uncover empirical workforce archetypes without imposing predefined subjective biases, we implemented unsupervised K-Means clustering. Numerical features (Age, Total Working Years, Years At Company, Years In Current Role, Years Since Last Promotion, Promotion Gap Ratio, Role Stagnation Index, Training Intensity) were standardized using z-score normalization to ensure zero mean and unit variance:</w:t>
      </w:r>
    </w:p>
    <w:p w14:paraId="7350B6FF" w14:textId="77777777" w:rsidR="003729F6" w:rsidRDefault="00000000" w:rsidP="002C2F4B">
      <w:pPr>
        <w:spacing w:after="120"/>
        <w:jc w:val="both"/>
      </w:pPr>
      <w:r>
        <w:rPr>
          <w:rFonts w:ascii="Calibri" w:hAnsi="Calibri"/>
          <w:color w:val="333333"/>
        </w:rPr>
        <w:t xml:space="preserve">       z_i = (x_i - μ_i) / σ_i</w:t>
      </w:r>
    </w:p>
    <w:p w14:paraId="7A893990" w14:textId="77777777" w:rsidR="003729F6" w:rsidRDefault="00000000" w:rsidP="002C2F4B">
      <w:pPr>
        <w:spacing w:after="120"/>
        <w:jc w:val="both"/>
      </w:pPr>
      <w:r>
        <w:rPr>
          <w:rFonts w:ascii="Calibri" w:hAnsi="Calibri"/>
          <w:color w:val="333333"/>
        </w:rPr>
        <w:lastRenderedPageBreak/>
        <w:t>Optimal cluster selection k = 4 was validated using the Sum of Squared Errors (SSE) Elbow Method and Silhouette Coefficient Analysis. The partitioning objective minimizes the within-cluster sum of squares across clusters C = {C_1, C_2, C_3, C_4}:</w:t>
      </w:r>
    </w:p>
    <w:p w14:paraId="7D723CEC" w14:textId="77777777" w:rsidR="003729F6" w:rsidRDefault="00000000" w:rsidP="002C2F4B">
      <w:pPr>
        <w:spacing w:after="120"/>
        <w:jc w:val="both"/>
      </w:pPr>
      <w:r>
        <w:rPr>
          <w:rFonts w:ascii="Calibri" w:hAnsi="Calibri"/>
          <w:color w:val="333333"/>
        </w:rPr>
        <w:t xml:space="preserve">       arg min_C ∑_{i=1}^{k} ∑_{x ∈ C_i} || x - μ_i ||^2</w:t>
      </w:r>
    </w:p>
    <w:p w14:paraId="2298346E" w14:textId="77777777" w:rsidR="003729F6" w:rsidRDefault="00000000" w:rsidP="002C2F4B">
      <w:pPr>
        <w:keepNext/>
        <w:spacing w:before="400" w:after="160"/>
        <w:jc w:val="both"/>
      </w:pPr>
      <w:r>
        <w:rPr>
          <w:rFonts w:ascii="Arial" w:hAnsi="Arial"/>
          <w:b/>
          <w:color w:val="1E2640"/>
          <w:sz w:val="32"/>
        </w:rPr>
        <w:t>4. Empirical Findings &amp; Detailed Data Tables</w:t>
      </w:r>
    </w:p>
    <w:p w14:paraId="44201BD4" w14:textId="77777777" w:rsidR="003729F6" w:rsidRDefault="00000000" w:rsidP="002C2F4B">
      <w:pPr>
        <w:spacing w:after="120"/>
        <w:jc w:val="both"/>
      </w:pPr>
      <w:r>
        <w:rPr>
          <w:rFonts w:ascii="Calibri" w:hAnsi="Calibri"/>
          <w:color w:val="333333"/>
        </w:rPr>
        <w:t>The empirical findings provide comprehensive organizational insights into departmental retention baselines, K-Means trajectory archetypes, job role vulnerabilities, and managerial stability dynamics.</w:t>
      </w:r>
    </w:p>
    <w:p w14:paraId="1ED872E1" w14:textId="77777777" w:rsidR="003729F6" w:rsidRDefault="00000000" w:rsidP="002C2F4B">
      <w:pPr>
        <w:keepNext/>
        <w:spacing w:before="280" w:after="120"/>
        <w:jc w:val="both"/>
      </w:pPr>
      <w:r>
        <w:rPr>
          <w:rFonts w:ascii="Arial" w:hAnsi="Arial"/>
          <w:b/>
          <w:color w:val="C0392B"/>
          <w:sz w:val="26"/>
        </w:rPr>
        <w:t>4.1 Departmental Baseline Demographics</w:t>
      </w:r>
    </w:p>
    <w:p w14:paraId="70BBD390" w14:textId="77777777" w:rsidR="003729F6" w:rsidRDefault="00000000" w:rsidP="002C2F4B">
      <w:pPr>
        <w:spacing w:after="120"/>
        <w:jc w:val="both"/>
      </w:pPr>
      <w:r>
        <w:rPr>
          <w:rFonts w:ascii="Calibri" w:hAnsi="Calibri"/>
          <w:color w:val="333333"/>
        </w:rPr>
        <w:t>Table 1 outlines the baseline workforce distribution across Palo Alto Networks' core operating departments. The overall organizational headcount stands at 1,470 employees with an aggregate voluntary attrition count of 237 (16.12%).</w:t>
      </w:r>
    </w:p>
    <w:tbl>
      <w:tblPr>
        <w:tblW w:w="0" w:type="auto"/>
        <w:jc w:val="center"/>
        <w:tblLook w:val="04A0" w:firstRow="1" w:lastRow="0" w:firstColumn="1" w:lastColumn="0" w:noHBand="0" w:noVBand="1"/>
      </w:tblPr>
      <w:tblGrid>
        <w:gridCol w:w="983"/>
        <w:gridCol w:w="859"/>
        <w:gridCol w:w="735"/>
        <w:gridCol w:w="735"/>
        <w:gridCol w:w="654"/>
        <w:gridCol w:w="634"/>
      </w:tblGrid>
      <w:tr w:rsidR="003729F6" w14:paraId="0DEC9EFB" w14:textId="77777777">
        <w:trPr>
          <w:cantSplit/>
          <w:tblHeade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1E2640"/>
            <w:tcMar>
              <w:top w:w="100" w:type="dxa"/>
              <w:left w:w="140" w:type="dxa"/>
              <w:bottom w:w="100" w:type="dxa"/>
              <w:right w:w="140" w:type="dxa"/>
            </w:tcMar>
          </w:tcPr>
          <w:p w14:paraId="70B0337F" w14:textId="77777777" w:rsidR="003729F6" w:rsidRDefault="00000000" w:rsidP="002C2F4B">
            <w:pPr>
              <w:spacing w:after="0"/>
              <w:jc w:val="both"/>
            </w:pPr>
            <w:r>
              <w:rPr>
                <w:rFonts w:ascii="Calibri" w:hAnsi="Calibri"/>
                <w:b/>
                <w:color w:val="FFFFFF"/>
                <w:sz w:val="20"/>
              </w:rPr>
              <w:t>Department</w:t>
            </w:r>
          </w:p>
        </w:tc>
        <w:tc>
          <w:tcPr>
            <w:tcW w:w="1296" w:type="dxa"/>
            <w:tcBorders>
              <w:top w:val="single" w:sz="4" w:space="0" w:color="D0D7DE"/>
              <w:left w:val="single" w:sz="4" w:space="0" w:color="D0D7DE"/>
              <w:bottom w:val="single" w:sz="4" w:space="0" w:color="D0D7DE"/>
              <w:right w:val="single" w:sz="4" w:space="0" w:color="D0D7DE"/>
            </w:tcBorders>
            <w:shd w:val="clear" w:color="auto" w:fill="1E2640"/>
            <w:tcMar>
              <w:top w:w="100" w:type="dxa"/>
              <w:left w:w="140" w:type="dxa"/>
              <w:bottom w:w="100" w:type="dxa"/>
              <w:right w:w="140" w:type="dxa"/>
            </w:tcMar>
          </w:tcPr>
          <w:p w14:paraId="32B47677" w14:textId="77777777" w:rsidR="003729F6" w:rsidRDefault="00000000" w:rsidP="002C2F4B">
            <w:pPr>
              <w:spacing w:after="0"/>
              <w:jc w:val="both"/>
            </w:pPr>
            <w:r>
              <w:rPr>
                <w:rFonts w:ascii="Calibri" w:hAnsi="Calibri"/>
                <w:b/>
                <w:color w:val="FFFFFF"/>
                <w:sz w:val="20"/>
              </w:rPr>
              <w:t>Headcount</w:t>
            </w:r>
          </w:p>
        </w:tc>
        <w:tc>
          <w:tcPr>
            <w:tcW w:w="1584" w:type="dxa"/>
            <w:tcBorders>
              <w:top w:val="single" w:sz="4" w:space="0" w:color="D0D7DE"/>
              <w:left w:val="single" w:sz="4" w:space="0" w:color="D0D7DE"/>
              <w:bottom w:val="single" w:sz="4" w:space="0" w:color="D0D7DE"/>
              <w:right w:val="single" w:sz="4" w:space="0" w:color="D0D7DE"/>
            </w:tcBorders>
            <w:shd w:val="clear" w:color="auto" w:fill="1E2640"/>
            <w:tcMar>
              <w:top w:w="100" w:type="dxa"/>
              <w:left w:w="140" w:type="dxa"/>
              <w:bottom w:w="100" w:type="dxa"/>
              <w:right w:w="140" w:type="dxa"/>
            </w:tcMar>
          </w:tcPr>
          <w:p w14:paraId="5031794A" w14:textId="77777777" w:rsidR="003729F6" w:rsidRDefault="00000000" w:rsidP="002C2F4B">
            <w:pPr>
              <w:spacing w:after="0"/>
              <w:jc w:val="both"/>
            </w:pPr>
            <w:r>
              <w:rPr>
                <w:rFonts w:ascii="Calibri" w:hAnsi="Calibri"/>
                <w:b/>
                <w:color w:val="FFFFFF"/>
                <w:sz w:val="20"/>
              </w:rPr>
              <w:t>Attrition Count</w:t>
            </w:r>
          </w:p>
        </w:tc>
        <w:tc>
          <w:tcPr>
            <w:tcW w:w="1728" w:type="dxa"/>
            <w:tcBorders>
              <w:top w:val="single" w:sz="4" w:space="0" w:color="D0D7DE"/>
              <w:left w:val="single" w:sz="4" w:space="0" w:color="D0D7DE"/>
              <w:bottom w:val="single" w:sz="4" w:space="0" w:color="D0D7DE"/>
              <w:right w:val="single" w:sz="4" w:space="0" w:color="D0D7DE"/>
            </w:tcBorders>
            <w:shd w:val="clear" w:color="auto" w:fill="1E2640"/>
            <w:tcMar>
              <w:top w:w="100" w:type="dxa"/>
              <w:left w:w="140" w:type="dxa"/>
              <w:bottom w:w="100" w:type="dxa"/>
              <w:right w:w="140" w:type="dxa"/>
            </w:tcMar>
          </w:tcPr>
          <w:p w14:paraId="1506DF5B" w14:textId="77777777" w:rsidR="003729F6" w:rsidRDefault="00000000" w:rsidP="002C2F4B">
            <w:pPr>
              <w:spacing w:after="0"/>
              <w:jc w:val="both"/>
            </w:pPr>
            <w:r>
              <w:rPr>
                <w:rFonts w:ascii="Calibri" w:hAnsi="Calibri"/>
                <w:b/>
                <w:color w:val="FFFFFF"/>
                <w:sz w:val="20"/>
              </w:rPr>
              <w:t>Attrition Rate (%)</w:t>
            </w:r>
          </w:p>
        </w:tc>
        <w:tc>
          <w:tcPr>
            <w:tcW w:w="1584" w:type="dxa"/>
            <w:tcBorders>
              <w:top w:val="single" w:sz="4" w:space="0" w:color="D0D7DE"/>
              <w:left w:val="single" w:sz="4" w:space="0" w:color="D0D7DE"/>
              <w:bottom w:val="single" w:sz="4" w:space="0" w:color="D0D7DE"/>
              <w:right w:val="single" w:sz="4" w:space="0" w:color="D0D7DE"/>
            </w:tcBorders>
            <w:shd w:val="clear" w:color="auto" w:fill="1E2640"/>
            <w:tcMar>
              <w:top w:w="100" w:type="dxa"/>
              <w:left w:w="140" w:type="dxa"/>
              <w:bottom w:w="100" w:type="dxa"/>
              <w:right w:w="140" w:type="dxa"/>
            </w:tcMar>
          </w:tcPr>
          <w:p w14:paraId="43B366DF" w14:textId="77777777" w:rsidR="003729F6" w:rsidRDefault="00000000" w:rsidP="002C2F4B">
            <w:pPr>
              <w:spacing w:after="0"/>
              <w:jc w:val="both"/>
            </w:pPr>
            <w:r>
              <w:rPr>
                <w:rFonts w:ascii="Calibri" w:hAnsi="Calibri"/>
                <w:b/>
                <w:color w:val="FFFFFF"/>
                <w:sz w:val="20"/>
              </w:rPr>
              <w:t>Avg Tenure (Yrs)</w:t>
            </w:r>
          </w:p>
        </w:tc>
        <w:tc>
          <w:tcPr>
            <w:tcW w:w="1728" w:type="dxa"/>
            <w:tcBorders>
              <w:top w:val="single" w:sz="4" w:space="0" w:color="D0D7DE"/>
              <w:left w:val="single" w:sz="4" w:space="0" w:color="D0D7DE"/>
              <w:bottom w:val="single" w:sz="4" w:space="0" w:color="D0D7DE"/>
              <w:right w:val="single" w:sz="4" w:space="0" w:color="D0D7DE"/>
            </w:tcBorders>
            <w:shd w:val="clear" w:color="auto" w:fill="1E2640"/>
            <w:tcMar>
              <w:top w:w="100" w:type="dxa"/>
              <w:left w:w="140" w:type="dxa"/>
              <w:bottom w:w="100" w:type="dxa"/>
              <w:right w:w="140" w:type="dxa"/>
            </w:tcMar>
          </w:tcPr>
          <w:p w14:paraId="547E576C" w14:textId="77777777" w:rsidR="003729F6" w:rsidRDefault="00000000" w:rsidP="002C2F4B">
            <w:pPr>
              <w:spacing w:after="0"/>
              <w:jc w:val="both"/>
            </w:pPr>
            <w:r>
              <w:rPr>
                <w:rFonts w:ascii="Calibri" w:hAnsi="Calibri"/>
                <w:b/>
                <w:color w:val="FFFFFF"/>
                <w:sz w:val="20"/>
              </w:rPr>
              <w:t>Avg Promo Gap (Yrs)</w:t>
            </w:r>
          </w:p>
        </w:tc>
      </w:tr>
      <w:tr w:rsidR="003729F6" w14:paraId="29519132" w14:textId="77777777">
        <w:trPr>
          <w:cantSplit/>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499BC75E" w14:textId="77777777" w:rsidR="003729F6" w:rsidRDefault="00000000" w:rsidP="002C2F4B">
            <w:pPr>
              <w:spacing w:after="0"/>
              <w:jc w:val="both"/>
            </w:pPr>
            <w:r>
              <w:rPr>
                <w:rFonts w:ascii="Calibri" w:hAnsi="Calibri"/>
                <w:color w:val="333333"/>
                <w:sz w:val="20"/>
              </w:rPr>
              <w:t>Human Resources</w:t>
            </w:r>
          </w:p>
        </w:tc>
        <w:tc>
          <w:tcPr>
            <w:tcW w:w="1296"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783C4639" w14:textId="77777777" w:rsidR="003729F6" w:rsidRDefault="00000000" w:rsidP="002C2F4B">
            <w:pPr>
              <w:spacing w:after="0"/>
              <w:jc w:val="both"/>
            </w:pPr>
            <w:r>
              <w:rPr>
                <w:rFonts w:ascii="Calibri" w:hAnsi="Calibri"/>
                <w:color w:val="333333"/>
                <w:sz w:val="20"/>
              </w:rPr>
              <w:t>63</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3B5EFA2F" w14:textId="77777777" w:rsidR="003729F6" w:rsidRDefault="00000000" w:rsidP="002C2F4B">
            <w:pPr>
              <w:spacing w:after="0"/>
              <w:jc w:val="both"/>
            </w:pPr>
            <w:r>
              <w:rPr>
                <w:rFonts w:ascii="Calibri" w:hAnsi="Calibri"/>
                <w:color w:val="333333"/>
                <w:sz w:val="20"/>
              </w:rPr>
              <w:t>12</w:t>
            </w:r>
          </w:p>
        </w:tc>
        <w:tc>
          <w:tcPr>
            <w:tcW w:w="1728"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45B0B21E" w14:textId="77777777" w:rsidR="003729F6" w:rsidRDefault="00000000" w:rsidP="002C2F4B">
            <w:pPr>
              <w:spacing w:after="0"/>
              <w:jc w:val="both"/>
            </w:pPr>
            <w:r>
              <w:rPr>
                <w:rFonts w:ascii="Calibri" w:hAnsi="Calibri"/>
                <w:color w:val="333333"/>
                <w:sz w:val="20"/>
              </w:rPr>
              <w:t>19.05%</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26AE08F5" w14:textId="77777777" w:rsidR="003729F6" w:rsidRDefault="00000000" w:rsidP="002C2F4B">
            <w:pPr>
              <w:spacing w:after="0"/>
              <w:jc w:val="both"/>
            </w:pPr>
            <w:r>
              <w:rPr>
                <w:rFonts w:ascii="Calibri" w:hAnsi="Calibri"/>
                <w:color w:val="333333"/>
                <w:sz w:val="20"/>
              </w:rPr>
              <w:t>7.24</w:t>
            </w:r>
          </w:p>
        </w:tc>
        <w:tc>
          <w:tcPr>
            <w:tcW w:w="1728"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7D9A7398" w14:textId="77777777" w:rsidR="003729F6" w:rsidRDefault="00000000" w:rsidP="002C2F4B">
            <w:pPr>
              <w:spacing w:after="0"/>
              <w:jc w:val="both"/>
            </w:pPr>
            <w:r>
              <w:rPr>
                <w:rFonts w:ascii="Calibri" w:hAnsi="Calibri"/>
                <w:color w:val="333333"/>
                <w:sz w:val="20"/>
              </w:rPr>
              <w:t>1.78</w:t>
            </w:r>
          </w:p>
        </w:tc>
      </w:tr>
      <w:tr w:rsidR="003729F6" w14:paraId="43D82E6C" w14:textId="77777777">
        <w:trPr>
          <w:cantSplit/>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393BF21F" w14:textId="77777777" w:rsidR="003729F6" w:rsidRDefault="00000000" w:rsidP="002C2F4B">
            <w:pPr>
              <w:spacing w:after="0"/>
              <w:jc w:val="both"/>
            </w:pPr>
            <w:r>
              <w:rPr>
                <w:rFonts w:ascii="Calibri" w:hAnsi="Calibri"/>
                <w:color w:val="333333"/>
                <w:sz w:val="20"/>
              </w:rPr>
              <w:t>Research &amp; Development</w:t>
            </w:r>
          </w:p>
        </w:tc>
        <w:tc>
          <w:tcPr>
            <w:tcW w:w="1296"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4BC469A0" w14:textId="77777777" w:rsidR="003729F6" w:rsidRDefault="00000000" w:rsidP="002C2F4B">
            <w:pPr>
              <w:spacing w:after="0"/>
              <w:jc w:val="both"/>
            </w:pPr>
            <w:r>
              <w:rPr>
                <w:rFonts w:ascii="Calibri" w:hAnsi="Calibri"/>
                <w:color w:val="333333"/>
                <w:sz w:val="20"/>
              </w:rPr>
              <w:t>961</w:t>
            </w:r>
          </w:p>
        </w:tc>
        <w:tc>
          <w:tcPr>
            <w:tcW w:w="1584"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4914FB36" w14:textId="77777777" w:rsidR="003729F6" w:rsidRDefault="00000000" w:rsidP="002C2F4B">
            <w:pPr>
              <w:spacing w:after="0"/>
              <w:jc w:val="both"/>
            </w:pPr>
            <w:r>
              <w:rPr>
                <w:rFonts w:ascii="Calibri" w:hAnsi="Calibri"/>
                <w:color w:val="333333"/>
                <w:sz w:val="20"/>
              </w:rPr>
              <w:t>133</w:t>
            </w:r>
          </w:p>
        </w:tc>
        <w:tc>
          <w:tcPr>
            <w:tcW w:w="1728"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44F62986" w14:textId="77777777" w:rsidR="003729F6" w:rsidRDefault="00000000" w:rsidP="002C2F4B">
            <w:pPr>
              <w:spacing w:after="0"/>
              <w:jc w:val="both"/>
            </w:pPr>
            <w:r>
              <w:rPr>
                <w:rFonts w:ascii="Calibri" w:hAnsi="Calibri"/>
                <w:color w:val="333333"/>
                <w:sz w:val="20"/>
              </w:rPr>
              <w:t>13.84%</w:t>
            </w:r>
          </w:p>
        </w:tc>
        <w:tc>
          <w:tcPr>
            <w:tcW w:w="1584"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32A3CA87" w14:textId="77777777" w:rsidR="003729F6" w:rsidRDefault="00000000" w:rsidP="002C2F4B">
            <w:pPr>
              <w:spacing w:after="0"/>
              <w:jc w:val="both"/>
            </w:pPr>
            <w:r>
              <w:rPr>
                <w:rFonts w:ascii="Calibri" w:hAnsi="Calibri"/>
                <w:color w:val="333333"/>
                <w:sz w:val="20"/>
              </w:rPr>
              <w:t>6.86</w:t>
            </w:r>
          </w:p>
        </w:tc>
        <w:tc>
          <w:tcPr>
            <w:tcW w:w="1728"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509D7682" w14:textId="77777777" w:rsidR="003729F6" w:rsidRDefault="00000000" w:rsidP="002C2F4B">
            <w:pPr>
              <w:spacing w:after="0"/>
              <w:jc w:val="both"/>
            </w:pPr>
            <w:r>
              <w:rPr>
                <w:rFonts w:ascii="Calibri" w:hAnsi="Calibri"/>
                <w:color w:val="333333"/>
                <w:sz w:val="20"/>
              </w:rPr>
              <w:t>2.14</w:t>
            </w:r>
          </w:p>
        </w:tc>
      </w:tr>
      <w:tr w:rsidR="003729F6" w14:paraId="3CBB5C0D" w14:textId="77777777">
        <w:trPr>
          <w:cantSplit/>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5779ACDD" w14:textId="77777777" w:rsidR="003729F6" w:rsidRDefault="00000000" w:rsidP="002C2F4B">
            <w:pPr>
              <w:spacing w:after="0"/>
              <w:jc w:val="both"/>
            </w:pPr>
            <w:r>
              <w:rPr>
                <w:rFonts w:ascii="Calibri" w:hAnsi="Calibri"/>
                <w:color w:val="333333"/>
                <w:sz w:val="20"/>
              </w:rPr>
              <w:t>Sales</w:t>
            </w:r>
          </w:p>
        </w:tc>
        <w:tc>
          <w:tcPr>
            <w:tcW w:w="1296"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71E98CFF" w14:textId="77777777" w:rsidR="003729F6" w:rsidRDefault="00000000" w:rsidP="002C2F4B">
            <w:pPr>
              <w:spacing w:after="0"/>
              <w:jc w:val="both"/>
            </w:pPr>
            <w:r>
              <w:rPr>
                <w:rFonts w:ascii="Calibri" w:hAnsi="Calibri"/>
                <w:color w:val="333333"/>
                <w:sz w:val="20"/>
              </w:rPr>
              <w:t>446</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27D3165D" w14:textId="77777777" w:rsidR="003729F6" w:rsidRDefault="00000000" w:rsidP="002C2F4B">
            <w:pPr>
              <w:spacing w:after="0"/>
              <w:jc w:val="both"/>
            </w:pPr>
            <w:r>
              <w:rPr>
                <w:rFonts w:ascii="Calibri" w:hAnsi="Calibri"/>
                <w:color w:val="333333"/>
                <w:sz w:val="20"/>
              </w:rPr>
              <w:t>92</w:t>
            </w:r>
          </w:p>
        </w:tc>
        <w:tc>
          <w:tcPr>
            <w:tcW w:w="1728"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680DADD9" w14:textId="77777777" w:rsidR="003729F6" w:rsidRDefault="00000000" w:rsidP="002C2F4B">
            <w:pPr>
              <w:spacing w:after="0"/>
              <w:jc w:val="both"/>
            </w:pPr>
            <w:r>
              <w:rPr>
                <w:rFonts w:ascii="Calibri" w:hAnsi="Calibri"/>
                <w:color w:val="333333"/>
                <w:sz w:val="20"/>
              </w:rPr>
              <w:t>20.63%</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6FD34348" w14:textId="77777777" w:rsidR="003729F6" w:rsidRDefault="00000000" w:rsidP="002C2F4B">
            <w:pPr>
              <w:spacing w:after="0"/>
              <w:jc w:val="both"/>
            </w:pPr>
            <w:r>
              <w:rPr>
                <w:rFonts w:ascii="Calibri" w:hAnsi="Calibri"/>
                <w:color w:val="333333"/>
                <w:sz w:val="20"/>
              </w:rPr>
              <w:t>7.28</w:t>
            </w:r>
          </w:p>
        </w:tc>
        <w:tc>
          <w:tcPr>
            <w:tcW w:w="1728"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16C91F1D" w14:textId="77777777" w:rsidR="003729F6" w:rsidRDefault="00000000" w:rsidP="002C2F4B">
            <w:pPr>
              <w:spacing w:after="0"/>
              <w:jc w:val="both"/>
            </w:pPr>
            <w:r>
              <w:rPr>
                <w:rFonts w:ascii="Calibri" w:hAnsi="Calibri"/>
                <w:color w:val="333333"/>
                <w:sz w:val="20"/>
              </w:rPr>
              <w:t>2.35</w:t>
            </w:r>
          </w:p>
        </w:tc>
      </w:tr>
      <w:tr w:rsidR="003729F6" w14:paraId="2A77F5A4" w14:textId="77777777">
        <w:trPr>
          <w:cantSplit/>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7AC72141" w14:textId="77777777" w:rsidR="003729F6" w:rsidRDefault="00000000" w:rsidP="002C2F4B">
            <w:pPr>
              <w:spacing w:after="0"/>
              <w:jc w:val="both"/>
            </w:pPr>
            <w:r>
              <w:rPr>
                <w:rFonts w:ascii="Calibri" w:hAnsi="Calibri"/>
                <w:color w:val="333333"/>
                <w:sz w:val="20"/>
              </w:rPr>
              <w:t>Total / Overall Avg</w:t>
            </w:r>
          </w:p>
        </w:tc>
        <w:tc>
          <w:tcPr>
            <w:tcW w:w="1296"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4453C634" w14:textId="77777777" w:rsidR="003729F6" w:rsidRDefault="00000000" w:rsidP="002C2F4B">
            <w:pPr>
              <w:spacing w:after="0"/>
              <w:jc w:val="both"/>
            </w:pPr>
            <w:r>
              <w:rPr>
                <w:rFonts w:ascii="Calibri" w:hAnsi="Calibri"/>
                <w:color w:val="333333"/>
                <w:sz w:val="20"/>
              </w:rPr>
              <w:t>1,470</w:t>
            </w:r>
          </w:p>
        </w:tc>
        <w:tc>
          <w:tcPr>
            <w:tcW w:w="1584"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5CE7A203" w14:textId="77777777" w:rsidR="003729F6" w:rsidRDefault="00000000" w:rsidP="002C2F4B">
            <w:pPr>
              <w:spacing w:after="0"/>
              <w:jc w:val="both"/>
            </w:pPr>
            <w:r>
              <w:rPr>
                <w:rFonts w:ascii="Calibri" w:hAnsi="Calibri"/>
                <w:color w:val="333333"/>
                <w:sz w:val="20"/>
              </w:rPr>
              <w:t>237</w:t>
            </w:r>
          </w:p>
        </w:tc>
        <w:tc>
          <w:tcPr>
            <w:tcW w:w="1728"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3D3F4739" w14:textId="77777777" w:rsidR="003729F6" w:rsidRDefault="00000000" w:rsidP="002C2F4B">
            <w:pPr>
              <w:spacing w:after="0"/>
              <w:jc w:val="both"/>
            </w:pPr>
            <w:r>
              <w:rPr>
                <w:rFonts w:ascii="Calibri" w:hAnsi="Calibri"/>
                <w:color w:val="333333"/>
                <w:sz w:val="20"/>
              </w:rPr>
              <w:t>16.12%</w:t>
            </w:r>
          </w:p>
        </w:tc>
        <w:tc>
          <w:tcPr>
            <w:tcW w:w="1584"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3F9C3265" w14:textId="77777777" w:rsidR="003729F6" w:rsidRDefault="00000000" w:rsidP="002C2F4B">
            <w:pPr>
              <w:spacing w:after="0"/>
              <w:jc w:val="both"/>
            </w:pPr>
            <w:r>
              <w:rPr>
                <w:rFonts w:ascii="Calibri" w:hAnsi="Calibri"/>
                <w:color w:val="333333"/>
                <w:sz w:val="20"/>
              </w:rPr>
              <w:t>6.99</w:t>
            </w:r>
          </w:p>
        </w:tc>
        <w:tc>
          <w:tcPr>
            <w:tcW w:w="1728"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66461A9D" w14:textId="77777777" w:rsidR="003729F6" w:rsidRDefault="00000000" w:rsidP="002C2F4B">
            <w:pPr>
              <w:spacing w:after="0"/>
              <w:jc w:val="both"/>
            </w:pPr>
            <w:r>
              <w:rPr>
                <w:rFonts w:ascii="Calibri" w:hAnsi="Calibri"/>
                <w:color w:val="333333"/>
                <w:sz w:val="20"/>
              </w:rPr>
              <w:t>2.19</w:t>
            </w:r>
          </w:p>
        </w:tc>
      </w:tr>
    </w:tbl>
    <w:p w14:paraId="5717710A" w14:textId="77777777" w:rsidR="003729F6" w:rsidRDefault="003729F6" w:rsidP="002C2F4B">
      <w:pPr>
        <w:spacing w:after="120"/>
        <w:jc w:val="both"/>
      </w:pPr>
    </w:p>
    <w:p w14:paraId="39586C04" w14:textId="77777777" w:rsidR="003729F6" w:rsidRDefault="00000000" w:rsidP="002C2F4B">
      <w:pPr>
        <w:spacing w:after="120"/>
        <w:jc w:val="both"/>
      </w:pPr>
      <w:r>
        <w:rPr>
          <w:rFonts w:ascii="Calibri" w:hAnsi="Calibri"/>
          <w:color w:val="333333"/>
        </w:rPr>
        <w:t>Key Insight: The Sales department exhibits the highest voluntary attrition rate (20.63%) alongside the longest average promotion gap (2.35 years), indicating that commission structures alone cannot compensate for stalled career progression.</w:t>
      </w:r>
    </w:p>
    <w:p w14:paraId="1034B810" w14:textId="77777777" w:rsidR="003729F6" w:rsidRDefault="00000000" w:rsidP="002C2F4B">
      <w:pPr>
        <w:keepNext/>
        <w:spacing w:before="280" w:after="120"/>
        <w:jc w:val="both"/>
      </w:pPr>
      <w:r>
        <w:rPr>
          <w:rFonts w:ascii="Arial" w:hAnsi="Arial"/>
          <w:b/>
          <w:color w:val="C0392B"/>
          <w:sz w:val="26"/>
        </w:rPr>
        <w:t>4.2 K-Means Career Trajectory Risk Profiles</w:t>
      </w:r>
    </w:p>
    <w:p w14:paraId="5185F2C9" w14:textId="77777777" w:rsidR="003729F6" w:rsidRDefault="00000000" w:rsidP="002C2F4B">
      <w:pPr>
        <w:spacing w:after="120"/>
        <w:jc w:val="both"/>
      </w:pPr>
      <w:r>
        <w:rPr>
          <w:rFonts w:ascii="Calibri" w:hAnsi="Calibri"/>
          <w:color w:val="333333"/>
        </w:rPr>
        <w:t>The unsupervised K-Means model identified four empirically distinct workforce archetypes. Table 2 details the mathematical cluster centroids and empirical attrition rates across each trajectory archetype:</w:t>
      </w:r>
    </w:p>
    <w:p w14:paraId="5A60C01D" w14:textId="77777777" w:rsidR="003729F6" w:rsidRDefault="003729F6" w:rsidP="002C2F4B">
      <w:pPr>
        <w:spacing w:after="120"/>
        <w:jc w:val="both"/>
      </w:pPr>
    </w:p>
    <w:p w14:paraId="4CB711FE" w14:textId="77777777" w:rsidR="003729F6" w:rsidRDefault="00000000" w:rsidP="002C2F4B">
      <w:pPr>
        <w:spacing w:after="120"/>
        <w:jc w:val="both"/>
      </w:pPr>
      <w:r>
        <w:rPr>
          <w:rFonts w:ascii="Calibri" w:hAnsi="Calibri"/>
          <w:color w:val="333333"/>
        </w:rPr>
        <w:t>Cluster Archetype Deep Dive:</w:t>
      </w:r>
    </w:p>
    <w:p w14:paraId="263A27F9" w14:textId="77777777" w:rsidR="003729F6" w:rsidRDefault="00000000" w:rsidP="002C2F4B">
      <w:pPr>
        <w:pStyle w:val="ListBullet"/>
        <w:spacing w:after="80"/>
        <w:jc w:val="both"/>
      </w:pPr>
      <w:r>
        <w:rPr>
          <w:rFonts w:ascii="Calibri" w:hAnsi="Calibri"/>
          <w:b/>
          <w:color w:val="1E2640"/>
        </w:rPr>
        <w:t xml:space="preserve">Early-Career Explorers (N = 720, 21.11% Attrition): </w:t>
      </w:r>
      <w:r>
        <w:rPr>
          <w:rFonts w:ascii="Calibri" w:hAnsi="Calibri"/>
          <w:color w:val="333333"/>
        </w:rPr>
        <w:t>Younger workforce segment with short company tenure (3.42 yrs). High attrition reflects initial job-hopping risk if career paths are unclear.</w:t>
      </w:r>
    </w:p>
    <w:p w14:paraId="201C481C" w14:textId="77777777" w:rsidR="003729F6" w:rsidRDefault="00000000" w:rsidP="002C2F4B">
      <w:pPr>
        <w:pStyle w:val="ListBullet"/>
        <w:spacing w:after="80"/>
        <w:jc w:val="both"/>
      </w:pPr>
      <w:r>
        <w:rPr>
          <w:rFonts w:ascii="Calibri" w:hAnsi="Calibri"/>
          <w:b/>
          <w:color w:val="1E2640"/>
        </w:rPr>
        <w:t xml:space="preserve">Fast-Track High Performers (N = 196, 18.88% Attrition): </w:t>
      </w:r>
      <w:r>
        <w:rPr>
          <w:rFonts w:ascii="Calibri" w:hAnsi="Calibri"/>
          <w:color w:val="333333"/>
        </w:rPr>
        <w:t>High velocity employees with strong training intensity (1.05). Despite rapid advancement, attrition remains high due to external poaching by competitors.</w:t>
      </w:r>
    </w:p>
    <w:p w14:paraId="78072D0A" w14:textId="77777777" w:rsidR="003729F6" w:rsidRDefault="00000000" w:rsidP="002C2F4B">
      <w:pPr>
        <w:pStyle w:val="ListBullet"/>
        <w:spacing w:after="80"/>
        <w:jc w:val="both"/>
      </w:pPr>
      <w:r>
        <w:rPr>
          <w:rFonts w:ascii="Calibri" w:hAnsi="Calibri"/>
          <w:b/>
          <w:color w:val="1E2640"/>
        </w:rPr>
        <w:lastRenderedPageBreak/>
        <w:t xml:space="preserve">Role-Stagnant Mid-Level (N = 337, 8.90% Attrition): </w:t>
      </w:r>
      <w:r>
        <w:rPr>
          <w:rFonts w:ascii="Calibri" w:hAnsi="Calibri"/>
          <w:color w:val="333333"/>
        </w:rPr>
        <w:t>Highly stagnant mid-career staff spending 75% of company tenure (7.53 of 10.41 yrs) in identical roles with low training intensity (0.30). Represents a 'quiet quitting' risk.</w:t>
      </w:r>
    </w:p>
    <w:p w14:paraId="4657D4CA" w14:textId="77777777" w:rsidR="003729F6" w:rsidRDefault="00000000" w:rsidP="002C2F4B">
      <w:pPr>
        <w:pStyle w:val="ListBullet"/>
        <w:spacing w:after="80"/>
        <w:jc w:val="both"/>
      </w:pPr>
      <w:r>
        <w:rPr>
          <w:rFonts w:ascii="Calibri" w:hAnsi="Calibri"/>
          <w:b/>
          <w:color w:val="1E2640"/>
        </w:rPr>
        <w:t xml:space="preserve">Tenured &amp; Stalled Seniors (N = 217, 8.29% Attrition): </w:t>
      </w:r>
      <w:r>
        <w:rPr>
          <w:rFonts w:ascii="Calibri" w:hAnsi="Calibri"/>
          <w:color w:val="333333"/>
        </w:rPr>
        <w:t>Senior organizational pillars averaging 14.71 years tenure, but facing an extreme promotion gap of 5.16 years.</w:t>
      </w:r>
    </w:p>
    <w:p w14:paraId="328B2279" w14:textId="77777777" w:rsidR="003729F6" w:rsidRDefault="00000000" w:rsidP="002C2F4B">
      <w:pPr>
        <w:keepNext/>
        <w:spacing w:before="280" w:after="120"/>
        <w:jc w:val="both"/>
      </w:pPr>
      <w:r>
        <w:rPr>
          <w:rFonts w:ascii="Arial" w:hAnsi="Arial"/>
          <w:b/>
          <w:color w:val="C0392B"/>
          <w:sz w:val="26"/>
        </w:rPr>
        <w:t>4.3 Job Role Stagnation Analysis</w:t>
      </w:r>
    </w:p>
    <w:p w14:paraId="1EB654AD" w14:textId="77777777" w:rsidR="003729F6" w:rsidRDefault="00000000" w:rsidP="002C2F4B">
      <w:pPr>
        <w:spacing w:after="120"/>
        <w:jc w:val="both"/>
      </w:pPr>
      <w:r>
        <w:rPr>
          <w:rFonts w:ascii="Calibri" w:hAnsi="Calibri"/>
          <w:color w:val="333333"/>
        </w:rPr>
        <w:t>Table 3 examines role-level promotion gaps and attrition risk across all nine job roles at Palo Alto Networks:</w:t>
      </w:r>
    </w:p>
    <w:tbl>
      <w:tblPr>
        <w:tblW w:w="0" w:type="auto"/>
        <w:jc w:val="center"/>
        <w:tblLook w:val="04A0" w:firstRow="1" w:lastRow="0" w:firstColumn="1" w:lastColumn="0" w:noHBand="0" w:noVBand="1"/>
      </w:tblPr>
      <w:tblGrid>
        <w:gridCol w:w="972"/>
        <w:gridCol w:w="791"/>
        <w:gridCol w:w="592"/>
        <w:gridCol w:w="780"/>
        <w:gridCol w:w="784"/>
        <w:gridCol w:w="681"/>
      </w:tblGrid>
      <w:tr w:rsidR="003729F6" w14:paraId="4F76E92A" w14:textId="77777777">
        <w:trPr>
          <w:cantSplit/>
          <w:tblHeade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1E2640"/>
            <w:tcMar>
              <w:top w:w="100" w:type="dxa"/>
              <w:left w:w="140" w:type="dxa"/>
              <w:bottom w:w="100" w:type="dxa"/>
              <w:right w:w="140" w:type="dxa"/>
            </w:tcMar>
          </w:tcPr>
          <w:p w14:paraId="53DB26B8" w14:textId="77777777" w:rsidR="003729F6" w:rsidRDefault="00000000" w:rsidP="002C2F4B">
            <w:pPr>
              <w:spacing w:after="0"/>
              <w:jc w:val="both"/>
            </w:pPr>
            <w:r>
              <w:rPr>
                <w:rFonts w:ascii="Calibri" w:hAnsi="Calibri"/>
                <w:b/>
                <w:color w:val="FFFFFF"/>
                <w:sz w:val="20"/>
              </w:rPr>
              <w:t>Job Role</w:t>
            </w:r>
          </w:p>
        </w:tc>
        <w:tc>
          <w:tcPr>
            <w:tcW w:w="1152" w:type="dxa"/>
            <w:tcBorders>
              <w:top w:val="single" w:sz="4" w:space="0" w:color="D0D7DE"/>
              <w:left w:val="single" w:sz="4" w:space="0" w:color="D0D7DE"/>
              <w:bottom w:val="single" w:sz="4" w:space="0" w:color="D0D7DE"/>
              <w:right w:val="single" w:sz="4" w:space="0" w:color="D0D7DE"/>
            </w:tcBorders>
            <w:shd w:val="clear" w:color="auto" w:fill="1E2640"/>
            <w:tcMar>
              <w:top w:w="100" w:type="dxa"/>
              <w:left w:w="140" w:type="dxa"/>
              <w:bottom w:w="100" w:type="dxa"/>
              <w:right w:w="140" w:type="dxa"/>
            </w:tcMar>
          </w:tcPr>
          <w:p w14:paraId="196951B0" w14:textId="77777777" w:rsidR="003729F6" w:rsidRDefault="00000000" w:rsidP="002C2F4B">
            <w:pPr>
              <w:spacing w:after="0"/>
              <w:jc w:val="both"/>
            </w:pPr>
            <w:r>
              <w:rPr>
                <w:rFonts w:ascii="Calibri" w:hAnsi="Calibri"/>
                <w:b/>
                <w:color w:val="FFFFFF"/>
                <w:sz w:val="20"/>
              </w:rPr>
              <w:t>Headcount</w:t>
            </w:r>
          </w:p>
        </w:tc>
        <w:tc>
          <w:tcPr>
            <w:tcW w:w="1728" w:type="dxa"/>
            <w:tcBorders>
              <w:top w:val="single" w:sz="4" w:space="0" w:color="D0D7DE"/>
              <w:left w:val="single" w:sz="4" w:space="0" w:color="D0D7DE"/>
              <w:bottom w:val="single" w:sz="4" w:space="0" w:color="D0D7DE"/>
              <w:right w:val="single" w:sz="4" w:space="0" w:color="D0D7DE"/>
            </w:tcBorders>
            <w:shd w:val="clear" w:color="auto" w:fill="1E2640"/>
            <w:tcMar>
              <w:top w:w="100" w:type="dxa"/>
              <w:left w:w="140" w:type="dxa"/>
              <w:bottom w:w="100" w:type="dxa"/>
              <w:right w:w="140" w:type="dxa"/>
            </w:tcMar>
          </w:tcPr>
          <w:p w14:paraId="786F958A" w14:textId="77777777" w:rsidR="003729F6" w:rsidRDefault="00000000" w:rsidP="002C2F4B">
            <w:pPr>
              <w:spacing w:after="0"/>
              <w:jc w:val="both"/>
            </w:pPr>
            <w:r>
              <w:rPr>
                <w:rFonts w:ascii="Calibri" w:hAnsi="Calibri"/>
                <w:b/>
                <w:color w:val="FFFFFF"/>
                <w:sz w:val="20"/>
              </w:rPr>
              <w:t>Avg Promo Gap (Yrs)</w:t>
            </w:r>
          </w:p>
        </w:tc>
        <w:tc>
          <w:tcPr>
            <w:tcW w:w="1584" w:type="dxa"/>
            <w:tcBorders>
              <w:top w:val="single" w:sz="4" w:space="0" w:color="D0D7DE"/>
              <w:left w:val="single" w:sz="4" w:space="0" w:color="D0D7DE"/>
              <w:bottom w:val="single" w:sz="4" w:space="0" w:color="D0D7DE"/>
              <w:right w:val="single" w:sz="4" w:space="0" w:color="D0D7DE"/>
            </w:tcBorders>
            <w:shd w:val="clear" w:color="auto" w:fill="1E2640"/>
            <w:tcMar>
              <w:top w:w="100" w:type="dxa"/>
              <w:left w:w="140" w:type="dxa"/>
              <w:bottom w:w="100" w:type="dxa"/>
              <w:right w:w="140" w:type="dxa"/>
            </w:tcMar>
          </w:tcPr>
          <w:p w14:paraId="6BC8CFB5" w14:textId="77777777" w:rsidR="003729F6" w:rsidRDefault="00000000" w:rsidP="002C2F4B">
            <w:pPr>
              <w:spacing w:after="0"/>
              <w:jc w:val="both"/>
            </w:pPr>
            <w:r>
              <w:rPr>
                <w:rFonts w:ascii="Calibri" w:hAnsi="Calibri"/>
                <w:b/>
                <w:color w:val="FFFFFF"/>
                <w:sz w:val="20"/>
              </w:rPr>
              <w:t>Promotion Gap Ratio</w:t>
            </w:r>
          </w:p>
        </w:tc>
        <w:tc>
          <w:tcPr>
            <w:tcW w:w="1584" w:type="dxa"/>
            <w:tcBorders>
              <w:top w:val="single" w:sz="4" w:space="0" w:color="D0D7DE"/>
              <w:left w:val="single" w:sz="4" w:space="0" w:color="D0D7DE"/>
              <w:bottom w:val="single" w:sz="4" w:space="0" w:color="D0D7DE"/>
              <w:right w:val="single" w:sz="4" w:space="0" w:color="D0D7DE"/>
            </w:tcBorders>
            <w:shd w:val="clear" w:color="auto" w:fill="1E2640"/>
            <w:tcMar>
              <w:top w:w="100" w:type="dxa"/>
              <w:left w:w="140" w:type="dxa"/>
              <w:bottom w:w="100" w:type="dxa"/>
              <w:right w:w="140" w:type="dxa"/>
            </w:tcMar>
          </w:tcPr>
          <w:p w14:paraId="11D54745" w14:textId="77777777" w:rsidR="003729F6" w:rsidRDefault="00000000" w:rsidP="002C2F4B">
            <w:pPr>
              <w:spacing w:after="0"/>
              <w:jc w:val="both"/>
            </w:pPr>
            <w:r>
              <w:rPr>
                <w:rFonts w:ascii="Calibri" w:hAnsi="Calibri"/>
                <w:b/>
                <w:color w:val="FFFFFF"/>
                <w:sz w:val="20"/>
              </w:rPr>
              <w:t>Role Stagnation Index</w:t>
            </w:r>
          </w:p>
        </w:tc>
        <w:tc>
          <w:tcPr>
            <w:tcW w:w="1440" w:type="dxa"/>
            <w:tcBorders>
              <w:top w:val="single" w:sz="4" w:space="0" w:color="D0D7DE"/>
              <w:left w:val="single" w:sz="4" w:space="0" w:color="D0D7DE"/>
              <w:bottom w:val="single" w:sz="4" w:space="0" w:color="D0D7DE"/>
              <w:right w:val="single" w:sz="4" w:space="0" w:color="D0D7DE"/>
            </w:tcBorders>
            <w:shd w:val="clear" w:color="auto" w:fill="1E2640"/>
            <w:tcMar>
              <w:top w:w="100" w:type="dxa"/>
              <w:left w:w="140" w:type="dxa"/>
              <w:bottom w:w="100" w:type="dxa"/>
              <w:right w:w="140" w:type="dxa"/>
            </w:tcMar>
          </w:tcPr>
          <w:p w14:paraId="3E1BE6ED" w14:textId="77777777" w:rsidR="003729F6" w:rsidRDefault="00000000" w:rsidP="002C2F4B">
            <w:pPr>
              <w:spacing w:after="0"/>
              <w:jc w:val="both"/>
            </w:pPr>
            <w:r>
              <w:rPr>
                <w:rFonts w:ascii="Calibri" w:hAnsi="Calibri"/>
                <w:b/>
                <w:color w:val="FFFFFF"/>
                <w:sz w:val="20"/>
              </w:rPr>
              <w:t>Attrition Rate (%)</w:t>
            </w:r>
          </w:p>
        </w:tc>
      </w:tr>
      <w:tr w:rsidR="003729F6" w14:paraId="203C99F1" w14:textId="77777777">
        <w:trPr>
          <w:cantSplit/>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1FDBCCA6" w14:textId="77777777" w:rsidR="003729F6" w:rsidRDefault="00000000" w:rsidP="002C2F4B">
            <w:pPr>
              <w:spacing w:after="0"/>
              <w:jc w:val="both"/>
            </w:pPr>
            <w:r>
              <w:rPr>
                <w:rFonts w:ascii="Calibri" w:hAnsi="Calibri"/>
                <w:color w:val="333333"/>
                <w:sz w:val="20"/>
              </w:rPr>
              <w:t>Healthcare Representative</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4E46AE5B" w14:textId="77777777" w:rsidR="003729F6" w:rsidRDefault="00000000" w:rsidP="002C2F4B">
            <w:pPr>
              <w:spacing w:after="0"/>
              <w:jc w:val="both"/>
            </w:pPr>
            <w:r>
              <w:rPr>
                <w:rFonts w:ascii="Calibri" w:hAnsi="Calibri"/>
                <w:color w:val="333333"/>
                <w:sz w:val="20"/>
              </w:rPr>
              <w:t>131</w:t>
            </w:r>
          </w:p>
        </w:tc>
        <w:tc>
          <w:tcPr>
            <w:tcW w:w="1728"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089BBFCA" w14:textId="77777777" w:rsidR="003729F6" w:rsidRDefault="00000000" w:rsidP="002C2F4B">
            <w:pPr>
              <w:spacing w:after="0"/>
              <w:jc w:val="both"/>
            </w:pPr>
            <w:r>
              <w:rPr>
                <w:rFonts w:ascii="Calibri" w:hAnsi="Calibri"/>
                <w:color w:val="333333"/>
                <w:sz w:val="20"/>
              </w:rPr>
              <w:t>2.97</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5A195CFB" w14:textId="77777777" w:rsidR="003729F6" w:rsidRDefault="00000000" w:rsidP="002C2F4B">
            <w:pPr>
              <w:spacing w:after="0"/>
              <w:jc w:val="both"/>
            </w:pPr>
            <w:r>
              <w:rPr>
                <w:rFonts w:ascii="Calibri" w:hAnsi="Calibri"/>
                <w:color w:val="333333"/>
                <w:sz w:val="20"/>
              </w:rPr>
              <w:t>0.30</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1A10F6A8" w14:textId="77777777" w:rsidR="003729F6" w:rsidRDefault="00000000" w:rsidP="002C2F4B">
            <w:pPr>
              <w:spacing w:after="0"/>
              <w:jc w:val="both"/>
            </w:pPr>
            <w:r>
              <w:rPr>
                <w:rFonts w:ascii="Calibri" w:hAnsi="Calibri"/>
                <w:color w:val="333333"/>
                <w:sz w:val="20"/>
              </w:rPr>
              <w:t>0.57</w:t>
            </w:r>
          </w:p>
        </w:tc>
        <w:tc>
          <w:tcPr>
            <w:tcW w:w="1440"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17D34CF9" w14:textId="77777777" w:rsidR="003729F6" w:rsidRDefault="00000000" w:rsidP="002C2F4B">
            <w:pPr>
              <w:spacing w:after="0"/>
              <w:jc w:val="both"/>
            </w:pPr>
            <w:r>
              <w:rPr>
                <w:rFonts w:ascii="Calibri" w:hAnsi="Calibri"/>
                <w:color w:val="333333"/>
                <w:sz w:val="20"/>
              </w:rPr>
              <w:t>6.87%</w:t>
            </w:r>
          </w:p>
        </w:tc>
      </w:tr>
      <w:tr w:rsidR="003729F6" w14:paraId="7DDE033C" w14:textId="77777777">
        <w:trPr>
          <w:cantSplit/>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4FEA6FD7" w14:textId="77777777" w:rsidR="003729F6" w:rsidRDefault="00000000" w:rsidP="002C2F4B">
            <w:pPr>
              <w:spacing w:after="0"/>
              <w:jc w:val="both"/>
            </w:pPr>
            <w:r>
              <w:rPr>
                <w:rFonts w:ascii="Calibri" w:hAnsi="Calibri"/>
                <w:color w:val="333333"/>
                <w:sz w:val="20"/>
              </w:rPr>
              <w:t>Human Resources</w:t>
            </w:r>
          </w:p>
        </w:tc>
        <w:tc>
          <w:tcPr>
            <w:tcW w:w="1152"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6FD17B45" w14:textId="77777777" w:rsidR="003729F6" w:rsidRDefault="00000000" w:rsidP="002C2F4B">
            <w:pPr>
              <w:spacing w:after="0"/>
              <w:jc w:val="both"/>
            </w:pPr>
            <w:r>
              <w:rPr>
                <w:rFonts w:ascii="Calibri" w:hAnsi="Calibri"/>
                <w:color w:val="333333"/>
                <w:sz w:val="20"/>
              </w:rPr>
              <w:t>52</w:t>
            </w:r>
          </w:p>
        </w:tc>
        <w:tc>
          <w:tcPr>
            <w:tcW w:w="1728"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5273030C" w14:textId="77777777" w:rsidR="003729F6" w:rsidRDefault="00000000" w:rsidP="002C2F4B">
            <w:pPr>
              <w:spacing w:after="0"/>
              <w:jc w:val="both"/>
            </w:pPr>
            <w:r>
              <w:rPr>
                <w:rFonts w:ascii="Calibri" w:hAnsi="Calibri"/>
                <w:color w:val="333333"/>
                <w:sz w:val="20"/>
              </w:rPr>
              <w:t>1.27</w:t>
            </w:r>
          </w:p>
        </w:tc>
        <w:tc>
          <w:tcPr>
            <w:tcW w:w="1584"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2148BC4D" w14:textId="77777777" w:rsidR="003729F6" w:rsidRDefault="00000000" w:rsidP="002C2F4B">
            <w:pPr>
              <w:spacing w:after="0"/>
              <w:jc w:val="both"/>
            </w:pPr>
            <w:r>
              <w:rPr>
                <w:rFonts w:ascii="Calibri" w:hAnsi="Calibri"/>
                <w:color w:val="333333"/>
                <w:sz w:val="20"/>
              </w:rPr>
              <w:t>0.26</w:t>
            </w:r>
          </w:p>
        </w:tc>
        <w:tc>
          <w:tcPr>
            <w:tcW w:w="1584"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7E6CA0BF" w14:textId="77777777" w:rsidR="003729F6" w:rsidRDefault="00000000" w:rsidP="002C2F4B">
            <w:pPr>
              <w:spacing w:after="0"/>
              <w:jc w:val="both"/>
            </w:pPr>
            <w:r>
              <w:rPr>
                <w:rFonts w:ascii="Calibri" w:hAnsi="Calibri"/>
                <w:color w:val="333333"/>
                <w:sz w:val="20"/>
              </w:rPr>
              <w:t>0.58</w:t>
            </w:r>
          </w:p>
        </w:tc>
        <w:tc>
          <w:tcPr>
            <w:tcW w:w="1440"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285FCA3B" w14:textId="77777777" w:rsidR="003729F6" w:rsidRDefault="00000000" w:rsidP="002C2F4B">
            <w:pPr>
              <w:spacing w:after="0"/>
              <w:jc w:val="both"/>
            </w:pPr>
            <w:r>
              <w:rPr>
                <w:rFonts w:ascii="Calibri" w:hAnsi="Calibri"/>
                <w:color w:val="333333"/>
                <w:sz w:val="20"/>
              </w:rPr>
              <w:t>23.08%</w:t>
            </w:r>
          </w:p>
        </w:tc>
      </w:tr>
      <w:tr w:rsidR="003729F6" w14:paraId="4EFFCE9A" w14:textId="77777777">
        <w:trPr>
          <w:cantSplit/>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492F11C7" w14:textId="77777777" w:rsidR="003729F6" w:rsidRDefault="00000000" w:rsidP="002C2F4B">
            <w:pPr>
              <w:spacing w:after="0"/>
              <w:jc w:val="both"/>
            </w:pPr>
            <w:r>
              <w:rPr>
                <w:rFonts w:ascii="Calibri" w:hAnsi="Calibri"/>
                <w:color w:val="333333"/>
                <w:sz w:val="20"/>
              </w:rPr>
              <w:t>Laboratory Technician</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2DC9D83C" w14:textId="77777777" w:rsidR="003729F6" w:rsidRDefault="00000000" w:rsidP="002C2F4B">
            <w:pPr>
              <w:spacing w:after="0"/>
              <w:jc w:val="both"/>
            </w:pPr>
            <w:r>
              <w:rPr>
                <w:rFonts w:ascii="Calibri" w:hAnsi="Calibri"/>
                <w:color w:val="333333"/>
                <w:sz w:val="20"/>
              </w:rPr>
              <w:t>259</w:t>
            </w:r>
          </w:p>
        </w:tc>
        <w:tc>
          <w:tcPr>
            <w:tcW w:w="1728"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33794094" w14:textId="77777777" w:rsidR="003729F6" w:rsidRDefault="00000000" w:rsidP="002C2F4B">
            <w:pPr>
              <w:spacing w:after="0"/>
              <w:jc w:val="both"/>
            </w:pPr>
            <w:r>
              <w:rPr>
                <w:rFonts w:ascii="Calibri" w:hAnsi="Calibri"/>
                <w:color w:val="333333"/>
                <w:sz w:val="20"/>
              </w:rPr>
              <w:t>1.42</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4DAF2BE1" w14:textId="77777777" w:rsidR="003729F6" w:rsidRDefault="00000000" w:rsidP="002C2F4B">
            <w:pPr>
              <w:spacing w:after="0"/>
              <w:jc w:val="both"/>
            </w:pPr>
            <w:r>
              <w:rPr>
                <w:rFonts w:ascii="Calibri" w:hAnsi="Calibri"/>
                <w:color w:val="333333"/>
                <w:sz w:val="20"/>
              </w:rPr>
              <w:t>0.26</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543346D5" w14:textId="77777777" w:rsidR="003729F6" w:rsidRDefault="00000000" w:rsidP="002C2F4B">
            <w:pPr>
              <w:spacing w:after="0"/>
              <w:jc w:val="both"/>
            </w:pPr>
            <w:r>
              <w:rPr>
                <w:rFonts w:ascii="Calibri" w:hAnsi="Calibri"/>
                <w:color w:val="333333"/>
                <w:sz w:val="20"/>
              </w:rPr>
              <w:t>0.55</w:t>
            </w:r>
          </w:p>
        </w:tc>
        <w:tc>
          <w:tcPr>
            <w:tcW w:w="1440"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4E312907" w14:textId="77777777" w:rsidR="003729F6" w:rsidRDefault="00000000" w:rsidP="002C2F4B">
            <w:pPr>
              <w:spacing w:after="0"/>
              <w:jc w:val="both"/>
            </w:pPr>
            <w:r>
              <w:rPr>
                <w:rFonts w:ascii="Calibri" w:hAnsi="Calibri"/>
                <w:color w:val="333333"/>
                <w:sz w:val="20"/>
              </w:rPr>
              <w:t>23.94%</w:t>
            </w:r>
          </w:p>
        </w:tc>
      </w:tr>
      <w:tr w:rsidR="003729F6" w14:paraId="1FE0D9CB" w14:textId="77777777">
        <w:trPr>
          <w:cantSplit/>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46A5DAB6" w14:textId="77777777" w:rsidR="003729F6" w:rsidRDefault="00000000" w:rsidP="002C2F4B">
            <w:pPr>
              <w:spacing w:after="0"/>
              <w:jc w:val="both"/>
            </w:pPr>
            <w:r>
              <w:rPr>
                <w:rFonts w:ascii="Calibri" w:hAnsi="Calibri"/>
                <w:color w:val="333333"/>
                <w:sz w:val="20"/>
              </w:rPr>
              <w:t>Manager</w:t>
            </w:r>
          </w:p>
        </w:tc>
        <w:tc>
          <w:tcPr>
            <w:tcW w:w="1152"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63C4601E" w14:textId="77777777" w:rsidR="003729F6" w:rsidRDefault="00000000" w:rsidP="002C2F4B">
            <w:pPr>
              <w:spacing w:after="0"/>
              <w:jc w:val="both"/>
            </w:pPr>
            <w:r>
              <w:rPr>
                <w:rFonts w:ascii="Calibri" w:hAnsi="Calibri"/>
                <w:color w:val="333333"/>
                <w:sz w:val="20"/>
              </w:rPr>
              <w:t>102</w:t>
            </w:r>
          </w:p>
        </w:tc>
        <w:tc>
          <w:tcPr>
            <w:tcW w:w="1728"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7FA83D3B" w14:textId="77777777" w:rsidR="003729F6" w:rsidRDefault="00000000" w:rsidP="002C2F4B">
            <w:pPr>
              <w:spacing w:after="0"/>
              <w:jc w:val="both"/>
            </w:pPr>
            <w:r>
              <w:rPr>
                <w:rFonts w:ascii="Calibri" w:hAnsi="Calibri"/>
                <w:color w:val="333333"/>
                <w:sz w:val="20"/>
              </w:rPr>
              <w:t>4.83</w:t>
            </w:r>
          </w:p>
        </w:tc>
        <w:tc>
          <w:tcPr>
            <w:tcW w:w="1584"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7441F492" w14:textId="77777777" w:rsidR="003729F6" w:rsidRDefault="00000000" w:rsidP="002C2F4B">
            <w:pPr>
              <w:spacing w:after="0"/>
              <w:jc w:val="both"/>
            </w:pPr>
            <w:r>
              <w:rPr>
                <w:rFonts w:ascii="Calibri" w:hAnsi="Calibri"/>
                <w:color w:val="333333"/>
                <w:sz w:val="20"/>
              </w:rPr>
              <w:t>0.36</w:t>
            </w:r>
          </w:p>
        </w:tc>
        <w:tc>
          <w:tcPr>
            <w:tcW w:w="1584"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215073DC" w14:textId="77777777" w:rsidR="003729F6" w:rsidRDefault="00000000" w:rsidP="002C2F4B">
            <w:pPr>
              <w:spacing w:after="0"/>
              <w:jc w:val="both"/>
            </w:pPr>
            <w:r>
              <w:rPr>
                <w:rFonts w:ascii="Calibri" w:hAnsi="Calibri"/>
                <w:color w:val="333333"/>
                <w:sz w:val="20"/>
              </w:rPr>
              <w:t>0.49</w:t>
            </w:r>
          </w:p>
        </w:tc>
        <w:tc>
          <w:tcPr>
            <w:tcW w:w="1440"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26798B47" w14:textId="77777777" w:rsidR="003729F6" w:rsidRDefault="00000000" w:rsidP="002C2F4B">
            <w:pPr>
              <w:spacing w:after="0"/>
              <w:jc w:val="both"/>
            </w:pPr>
            <w:r>
              <w:rPr>
                <w:rFonts w:ascii="Calibri" w:hAnsi="Calibri"/>
                <w:color w:val="333333"/>
                <w:sz w:val="20"/>
              </w:rPr>
              <w:t>4.90%</w:t>
            </w:r>
          </w:p>
        </w:tc>
      </w:tr>
      <w:tr w:rsidR="003729F6" w14:paraId="50E1CB73" w14:textId="77777777">
        <w:trPr>
          <w:cantSplit/>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101000AA" w14:textId="77777777" w:rsidR="003729F6" w:rsidRDefault="00000000" w:rsidP="002C2F4B">
            <w:pPr>
              <w:spacing w:after="0"/>
              <w:jc w:val="both"/>
            </w:pPr>
            <w:r>
              <w:rPr>
                <w:rFonts w:ascii="Calibri" w:hAnsi="Calibri"/>
                <w:color w:val="333333"/>
                <w:sz w:val="20"/>
              </w:rPr>
              <w:t>Manufacturing Director</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50F62AE9" w14:textId="77777777" w:rsidR="003729F6" w:rsidRDefault="00000000" w:rsidP="002C2F4B">
            <w:pPr>
              <w:spacing w:after="0"/>
              <w:jc w:val="both"/>
            </w:pPr>
            <w:r>
              <w:rPr>
                <w:rFonts w:ascii="Calibri" w:hAnsi="Calibri"/>
                <w:color w:val="333333"/>
                <w:sz w:val="20"/>
              </w:rPr>
              <w:t>145</w:t>
            </w:r>
          </w:p>
        </w:tc>
        <w:tc>
          <w:tcPr>
            <w:tcW w:w="1728"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0ED90C7B" w14:textId="77777777" w:rsidR="003729F6" w:rsidRDefault="00000000" w:rsidP="002C2F4B">
            <w:pPr>
              <w:spacing w:after="0"/>
              <w:jc w:val="both"/>
            </w:pPr>
            <w:r>
              <w:rPr>
                <w:rFonts w:ascii="Calibri" w:hAnsi="Calibri"/>
                <w:color w:val="333333"/>
                <w:sz w:val="20"/>
              </w:rPr>
              <w:t>2.12</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37C08A60" w14:textId="77777777" w:rsidR="003729F6" w:rsidRDefault="00000000" w:rsidP="002C2F4B">
            <w:pPr>
              <w:spacing w:after="0"/>
              <w:jc w:val="both"/>
            </w:pPr>
            <w:r>
              <w:rPr>
                <w:rFonts w:ascii="Calibri" w:hAnsi="Calibri"/>
                <w:color w:val="333333"/>
                <w:sz w:val="20"/>
              </w:rPr>
              <w:t>0.26</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7089477C" w14:textId="77777777" w:rsidR="003729F6" w:rsidRDefault="00000000" w:rsidP="002C2F4B">
            <w:pPr>
              <w:spacing w:after="0"/>
              <w:jc w:val="both"/>
            </w:pPr>
            <w:r>
              <w:rPr>
                <w:rFonts w:ascii="Calibri" w:hAnsi="Calibri"/>
                <w:color w:val="333333"/>
                <w:sz w:val="20"/>
              </w:rPr>
              <w:t>0.63</w:t>
            </w:r>
          </w:p>
        </w:tc>
        <w:tc>
          <w:tcPr>
            <w:tcW w:w="1440"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5D884C3E" w14:textId="77777777" w:rsidR="003729F6" w:rsidRDefault="00000000" w:rsidP="002C2F4B">
            <w:pPr>
              <w:spacing w:after="0"/>
              <w:jc w:val="both"/>
            </w:pPr>
            <w:r>
              <w:rPr>
                <w:rFonts w:ascii="Calibri" w:hAnsi="Calibri"/>
                <w:color w:val="333333"/>
                <w:sz w:val="20"/>
              </w:rPr>
              <w:t>6.90%</w:t>
            </w:r>
          </w:p>
        </w:tc>
      </w:tr>
      <w:tr w:rsidR="003729F6" w14:paraId="59A247D8" w14:textId="77777777">
        <w:trPr>
          <w:cantSplit/>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0146EE52" w14:textId="77777777" w:rsidR="003729F6" w:rsidRDefault="00000000" w:rsidP="002C2F4B">
            <w:pPr>
              <w:spacing w:after="0"/>
              <w:jc w:val="both"/>
            </w:pPr>
            <w:r>
              <w:rPr>
                <w:rFonts w:ascii="Calibri" w:hAnsi="Calibri"/>
                <w:color w:val="333333"/>
                <w:sz w:val="20"/>
              </w:rPr>
              <w:t>Research Director</w:t>
            </w:r>
          </w:p>
        </w:tc>
        <w:tc>
          <w:tcPr>
            <w:tcW w:w="1152"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193176B7" w14:textId="77777777" w:rsidR="003729F6" w:rsidRDefault="00000000" w:rsidP="002C2F4B">
            <w:pPr>
              <w:spacing w:after="0"/>
              <w:jc w:val="both"/>
            </w:pPr>
            <w:r>
              <w:rPr>
                <w:rFonts w:ascii="Calibri" w:hAnsi="Calibri"/>
                <w:color w:val="333333"/>
                <w:sz w:val="20"/>
              </w:rPr>
              <w:t>80</w:t>
            </w:r>
          </w:p>
        </w:tc>
        <w:tc>
          <w:tcPr>
            <w:tcW w:w="1728"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19A4036E" w14:textId="77777777" w:rsidR="003729F6" w:rsidRDefault="00000000" w:rsidP="002C2F4B">
            <w:pPr>
              <w:spacing w:after="0"/>
              <w:jc w:val="both"/>
            </w:pPr>
            <w:r>
              <w:rPr>
                <w:rFonts w:ascii="Calibri" w:hAnsi="Calibri"/>
                <w:color w:val="333333"/>
                <w:sz w:val="20"/>
              </w:rPr>
              <w:t>3.19</w:t>
            </w:r>
          </w:p>
        </w:tc>
        <w:tc>
          <w:tcPr>
            <w:tcW w:w="1584"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442453BD" w14:textId="77777777" w:rsidR="003729F6" w:rsidRDefault="00000000" w:rsidP="002C2F4B">
            <w:pPr>
              <w:spacing w:after="0"/>
              <w:jc w:val="both"/>
            </w:pPr>
            <w:r>
              <w:rPr>
                <w:rFonts w:ascii="Calibri" w:hAnsi="Calibri"/>
                <w:color w:val="333333"/>
                <w:sz w:val="20"/>
              </w:rPr>
              <w:t>0.28</w:t>
            </w:r>
          </w:p>
        </w:tc>
        <w:tc>
          <w:tcPr>
            <w:tcW w:w="1584"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40AD4167" w14:textId="77777777" w:rsidR="003729F6" w:rsidRDefault="00000000" w:rsidP="002C2F4B">
            <w:pPr>
              <w:spacing w:after="0"/>
              <w:jc w:val="both"/>
            </w:pPr>
            <w:r>
              <w:rPr>
                <w:rFonts w:ascii="Calibri" w:hAnsi="Calibri"/>
                <w:color w:val="333333"/>
                <w:sz w:val="20"/>
              </w:rPr>
              <w:t>0.59</w:t>
            </w:r>
          </w:p>
        </w:tc>
        <w:tc>
          <w:tcPr>
            <w:tcW w:w="1440"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51B2F65E" w14:textId="77777777" w:rsidR="003729F6" w:rsidRDefault="00000000" w:rsidP="002C2F4B">
            <w:pPr>
              <w:spacing w:after="0"/>
              <w:jc w:val="both"/>
            </w:pPr>
            <w:r>
              <w:rPr>
                <w:rFonts w:ascii="Calibri" w:hAnsi="Calibri"/>
                <w:color w:val="333333"/>
                <w:sz w:val="20"/>
              </w:rPr>
              <w:t>2.50%</w:t>
            </w:r>
          </w:p>
        </w:tc>
      </w:tr>
      <w:tr w:rsidR="003729F6" w14:paraId="31158C3A" w14:textId="77777777">
        <w:trPr>
          <w:cantSplit/>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41AAFF30" w14:textId="77777777" w:rsidR="003729F6" w:rsidRDefault="00000000" w:rsidP="002C2F4B">
            <w:pPr>
              <w:spacing w:after="0"/>
              <w:jc w:val="both"/>
            </w:pPr>
            <w:r>
              <w:rPr>
                <w:rFonts w:ascii="Calibri" w:hAnsi="Calibri"/>
                <w:color w:val="333333"/>
                <w:sz w:val="20"/>
              </w:rPr>
              <w:t>Research Scientist</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580CA67C" w14:textId="77777777" w:rsidR="003729F6" w:rsidRDefault="00000000" w:rsidP="002C2F4B">
            <w:pPr>
              <w:spacing w:after="0"/>
              <w:jc w:val="both"/>
            </w:pPr>
            <w:r>
              <w:rPr>
                <w:rFonts w:ascii="Calibri" w:hAnsi="Calibri"/>
                <w:color w:val="333333"/>
                <w:sz w:val="20"/>
              </w:rPr>
              <w:t>292</w:t>
            </w:r>
          </w:p>
        </w:tc>
        <w:tc>
          <w:tcPr>
            <w:tcW w:w="1728"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785BB8E9" w14:textId="77777777" w:rsidR="003729F6" w:rsidRDefault="00000000" w:rsidP="002C2F4B">
            <w:pPr>
              <w:spacing w:after="0"/>
              <w:jc w:val="both"/>
            </w:pPr>
            <w:r>
              <w:rPr>
                <w:rFonts w:ascii="Calibri" w:hAnsi="Calibri"/>
                <w:color w:val="333333"/>
                <w:sz w:val="20"/>
              </w:rPr>
              <w:t>1.51</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71D1C8FD" w14:textId="77777777" w:rsidR="003729F6" w:rsidRDefault="00000000" w:rsidP="002C2F4B">
            <w:pPr>
              <w:spacing w:after="0"/>
              <w:jc w:val="both"/>
            </w:pPr>
            <w:r>
              <w:rPr>
                <w:rFonts w:ascii="Calibri" w:hAnsi="Calibri"/>
                <w:color w:val="333333"/>
                <w:sz w:val="20"/>
              </w:rPr>
              <w:t>0.29</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181885FA" w14:textId="77777777" w:rsidR="003729F6" w:rsidRDefault="00000000" w:rsidP="002C2F4B">
            <w:pPr>
              <w:spacing w:after="0"/>
              <w:jc w:val="both"/>
            </w:pPr>
            <w:r>
              <w:rPr>
                <w:rFonts w:ascii="Calibri" w:hAnsi="Calibri"/>
                <w:color w:val="333333"/>
                <w:sz w:val="20"/>
              </w:rPr>
              <w:t>0.57</w:t>
            </w:r>
          </w:p>
        </w:tc>
        <w:tc>
          <w:tcPr>
            <w:tcW w:w="1440"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7FD8893B" w14:textId="77777777" w:rsidR="003729F6" w:rsidRDefault="00000000" w:rsidP="002C2F4B">
            <w:pPr>
              <w:spacing w:after="0"/>
              <w:jc w:val="both"/>
            </w:pPr>
            <w:r>
              <w:rPr>
                <w:rFonts w:ascii="Calibri" w:hAnsi="Calibri"/>
                <w:color w:val="333333"/>
                <w:sz w:val="20"/>
              </w:rPr>
              <w:t>16.10%</w:t>
            </w:r>
          </w:p>
        </w:tc>
      </w:tr>
      <w:tr w:rsidR="003729F6" w14:paraId="4223659E" w14:textId="77777777">
        <w:trPr>
          <w:cantSplit/>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22B16736" w14:textId="77777777" w:rsidR="003729F6" w:rsidRDefault="00000000" w:rsidP="002C2F4B">
            <w:pPr>
              <w:spacing w:after="0"/>
              <w:jc w:val="both"/>
            </w:pPr>
            <w:r>
              <w:rPr>
                <w:rFonts w:ascii="Calibri" w:hAnsi="Calibri"/>
                <w:color w:val="333333"/>
                <w:sz w:val="20"/>
              </w:rPr>
              <w:t>Sales Executive</w:t>
            </w:r>
          </w:p>
        </w:tc>
        <w:tc>
          <w:tcPr>
            <w:tcW w:w="1152"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0AD149CD" w14:textId="77777777" w:rsidR="003729F6" w:rsidRDefault="00000000" w:rsidP="002C2F4B">
            <w:pPr>
              <w:spacing w:after="0"/>
              <w:jc w:val="both"/>
            </w:pPr>
            <w:r>
              <w:rPr>
                <w:rFonts w:ascii="Calibri" w:hAnsi="Calibri"/>
                <w:color w:val="333333"/>
                <w:sz w:val="20"/>
              </w:rPr>
              <w:t>326</w:t>
            </w:r>
          </w:p>
        </w:tc>
        <w:tc>
          <w:tcPr>
            <w:tcW w:w="1728"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1A090661" w14:textId="77777777" w:rsidR="003729F6" w:rsidRDefault="00000000" w:rsidP="002C2F4B">
            <w:pPr>
              <w:spacing w:after="0"/>
              <w:jc w:val="both"/>
            </w:pPr>
            <w:r>
              <w:rPr>
                <w:rFonts w:ascii="Calibri" w:hAnsi="Calibri"/>
                <w:color w:val="333333"/>
                <w:sz w:val="20"/>
              </w:rPr>
              <w:t>2.48</w:t>
            </w:r>
          </w:p>
        </w:tc>
        <w:tc>
          <w:tcPr>
            <w:tcW w:w="1584"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674686F6" w14:textId="77777777" w:rsidR="003729F6" w:rsidRDefault="00000000" w:rsidP="002C2F4B">
            <w:pPr>
              <w:spacing w:after="0"/>
              <w:jc w:val="both"/>
            </w:pPr>
            <w:r>
              <w:rPr>
                <w:rFonts w:ascii="Calibri" w:hAnsi="Calibri"/>
                <w:color w:val="333333"/>
                <w:sz w:val="20"/>
              </w:rPr>
              <w:t>0.31</w:t>
            </w:r>
          </w:p>
        </w:tc>
        <w:tc>
          <w:tcPr>
            <w:tcW w:w="1584"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17B46F66" w14:textId="77777777" w:rsidR="003729F6" w:rsidRDefault="00000000" w:rsidP="002C2F4B">
            <w:pPr>
              <w:spacing w:after="0"/>
              <w:jc w:val="both"/>
            </w:pPr>
            <w:r>
              <w:rPr>
                <w:rFonts w:ascii="Calibri" w:hAnsi="Calibri"/>
                <w:color w:val="333333"/>
                <w:sz w:val="20"/>
              </w:rPr>
              <w:t>0.63</w:t>
            </w:r>
          </w:p>
        </w:tc>
        <w:tc>
          <w:tcPr>
            <w:tcW w:w="1440"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00226257" w14:textId="77777777" w:rsidR="003729F6" w:rsidRDefault="00000000" w:rsidP="002C2F4B">
            <w:pPr>
              <w:spacing w:after="0"/>
              <w:jc w:val="both"/>
            </w:pPr>
            <w:r>
              <w:rPr>
                <w:rFonts w:ascii="Calibri" w:hAnsi="Calibri"/>
                <w:color w:val="333333"/>
                <w:sz w:val="20"/>
              </w:rPr>
              <w:t>17.48%</w:t>
            </w:r>
          </w:p>
        </w:tc>
      </w:tr>
      <w:tr w:rsidR="003729F6" w14:paraId="4683B255" w14:textId="77777777">
        <w:trPr>
          <w:cantSplit/>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62FE3936" w14:textId="77777777" w:rsidR="003729F6" w:rsidRDefault="00000000" w:rsidP="002C2F4B">
            <w:pPr>
              <w:spacing w:after="0"/>
              <w:jc w:val="both"/>
            </w:pPr>
            <w:r>
              <w:rPr>
                <w:rFonts w:ascii="Calibri" w:hAnsi="Calibri"/>
                <w:color w:val="333333"/>
                <w:sz w:val="20"/>
              </w:rPr>
              <w:t>Sales Representative</w:t>
            </w:r>
          </w:p>
        </w:tc>
        <w:tc>
          <w:tcPr>
            <w:tcW w:w="1152"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4DE5BA89" w14:textId="77777777" w:rsidR="003729F6" w:rsidRDefault="00000000" w:rsidP="002C2F4B">
            <w:pPr>
              <w:spacing w:after="0"/>
              <w:jc w:val="both"/>
            </w:pPr>
            <w:r>
              <w:rPr>
                <w:rFonts w:ascii="Calibri" w:hAnsi="Calibri"/>
                <w:color w:val="333333"/>
                <w:sz w:val="20"/>
              </w:rPr>
              <w:t>83</w:t>
            </w:r>
          </w:p>
        </w:tc>
        <w:tc>
          <w:tcPr>
            <w:tcW w:w="1728"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01320585" w14:textId="77777777" w:rsidR="003729F6" w:rsidRDefault="00000000" w:rsidP="002C2F4B">
            <w:pPr>
              <w:spacing w:after="0"/>
              <w:jc w:val="both"/>
            </w:pPr>
            <w:r>
              <w:rPr>
                <w:rFonts w:ascii="Calibri" w:hAnsi="Calibri"/>
                <w:color w:val="333333"/>
                <w:sz w:val="20"/>
              </w:rPr>
              <w:t>1.06</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770A7A6F" w14:textId="77777777" w:rsidR="003729F6" w:rsidRDefault="00000000" w:rsidP="002C2F4B">
            <w:pPr>
              <w:spacing w:after="0"/>
              <w:jc w:val="both"/>
            </w:pPr>
            <w:r>
              <w:rPr>
                <w:rFonts w:ascii="Calibri" w:hAnsi="Calibri"/>
                <w:color w:val="333333"/>
                <w:sz w:val="20"/>
              </w:rPr>
              <w:t>0.31</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6807DA3A" w14:textId="77777777" w:rsidR="003729F6" w:rsidRDefault="00000000" w:rsidP="002C2F4B">
            <w:pPr>
              <w:spacing w:after="0"/>
              <w:jc w:val="both"/>
            </w:pPr>
            <w:r>
              <w:rPr>
                <w:rFonts w:ascii="Calibri" w:hAnsi="Calibri"/>
                <w:color w:val="333333"/>
                <w:sz w:val="20"/>
              </w:rPr>
              <w:t>0.51</w:t>
            </w:r>
          </w:p>
        </w:tc>
        <w:tc>
          <w:tcPr>
            <w:tcW w:w="1440"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104BC9A6" w14:textId="77777777" w:rsidR="003729F6" w:rsidRDefault="00000000" w:rsidP="002C2F4B">
            <w:pPr>
              <w:spacing w:after="0"/>
              <w:jc w:val="both"/>
            </w:pPr>
            <w:r>
              <w:rPr>
                <w:rFonts w:ascii="Calibri" w:hAnsi="Calibri"/>
                <w:color w:val="333333"/>
                <w:sz w:val="20"/>
              </w:rPr>
              <w:t>39.76%</w:t>
            </w:r>
          </w:p>
        </w:tc>
      </w:tr>
    </w:tbl>
    <w:p w14:paraId="455D363A" w14:textId="77777777" w:rsidR="003729F6" w:rsidRDefault="003729F6" w:rsidP="002C2F4B">
      <w:pPr>
        <w:spacing w:after="120"/>
        <w:jc w:val="both"/>
      </w:pPr>
    </w:p>
    <w:p w14:paraId="23F636A0" w14:textId="77777777" w:rsidR="003729F6" w:rsidRDefault="00000000" w:rsidP="002C2F4B">
      <w:pPr>
        <w:spacing w:after="120"/>
        <w:jc w:val="both"/>
      </w:pPr>
      <w:r>
        <w:rPr>
          <w:rFonts w:ascii="Calibri" w:hAnsi="Calibri"/>
          <w:color w:val="333333"/>
        </w:rPr>
        <w:t>Key Insight: Sales Representatives experience an alarming 39.76% attrition rate, while technical roles such as Laboratory Technicians (23.94%) and HR staff (23.08%) exhibit severe early-stage churn.</w:t>
      </w:r>
    </w:p>
    <w:p w14:paraId="379A4CA7" w14:textId="77777777" w:rsidR="003729F6" w:rsidRDefault="00000000" w:rsidP="002C2F4B">
      <w:pPr>
        <w:keepNext/>
        <w:spacing w:before="280" w:after="120"/>
        <w:jc w:val="both"/>
      </w:pPr>
      <w:r>
        <w:rPr>
          <w:rFonts w:ascii="Arial" w:hAnsi="Arial"/>
          <w:b/>
          <w:color w:val="C0392B"/>
          <w:sz w:val="26"/>
        </w:rPr>
        <w:t>4.4 Managerial Relationship Stability &amp; Attrition Dynamics</w:t>
      </w:r>
    </w:p>
    <w:p w14:paraId="357B62CF" w14:textId="77777777" w:rsidR="003729F6" w:rsidRDefault="00000000" w:rsidP="002C2F4B">
      <w:pPr>
        <w:spacing w:after="120"/>
        <w:jc w:val="both"/>
      </w:pPr>
      <w:r>
        <w:rPr>
          <w:rFonts w:ascii="Calibri" w:hAnsi="Calibri"/>
          <w:color w:val="333333"/>
        </w:rPr>
        <w:t>Table 4 illustrates the powerful inverse relationship between managerial continuity and voluntary attrition:</w:t>
      </w:r>
    </w:p>
    <w:tbl>
      <w:tblPr>
        <w:tblW w:w="0" w:type="auto"/>
        <w:jc w:val="center"/>
        <w:tblLook w:val="04A0" w:firstRow="1" w:lastRow="0" w:firstColumn="1" w:lastColumn="0" w:noHBand="0" w:noVBand="1"/>
      </w:tblPr>
      <w:tblGrid>
        <w:gridCol w:w="1069"/>
        <w:gridCol w:w="991"/>
        <w:gridCol w:w="864"/>
        <w:gridCol w:w="838"/>
        <w:gridCol w:w="838"/>
      </w:tblGrid>
      <w:tr w:rsidR="003729F6" w14:paraId="18C85BF7" w14:textId="77777777">
        <w:trPr>
          <w:cantSplit/>
          <w:tblHeader/>
          <w:jc w:val="center"/>
        </w:trPr>
        <w:tc>
          <w:tcPr>
            <w:tcW w:w="2880" w:type="dxa"/>
            <w:tcBorders>
              <w:top w:val="single" w:sz="4" w:space="0" w:color="D0D7DE"/>
              <w:left w:val="single" w:sz="4" w:space="0" w:color="D0D7DE"/>
              <w:bottom w:val="single" w:sz="4" w:space="0" w:color="D0D7DE"/>
              <w:right w:val="single" w:sz="4" w:space="0" w:color="D0D7DE"/>
            </w:tcBorders>
            <w:shd w:val="clear" w:color="auto" w:fill="1E2640"/>
            <w:tcMar>
              <w:top w:w="100" w:type="dxa"/>
              <w:left w:w="140" w:type="dxa"/>
              <w:bottom w:w="100" w:type="dxa"/>
              <w:right w:w="140" w:type="dxa"/>
            </w:tcMar>
          </w:tcPr>
          <w:p w14:paraId="598A6542" w14:textId="77777777" w:rsidR="003729F6" w:rsidRDefault="00000000" w:rsidP="002C2F4B">
            <w:pPr>
              <w:spacing w:after="0"/>
              <w:jc w:val="both"/>
            </w:pPr>
            <w:r>
              <w:rPr>
                <w:rFonts w:ascii="Calibri" w:hAnsi="Calibri"/>
                <w:b/>
                <w:color w:val="FFFFFF"/>
                <w:sz w:val="20"/>
              </w:rPr>
              <w:t>Manager Stability Level</w:t>
            </w:r>
          </w:p>
        </w:tc>
        <w:tc>
          <w:tcPr>
            <w:tcW w:w="1296" w:type="dxa"/>
            <w:tcBorders>
              <w:top w:val="single" w:sz="4" w:space="0" w:color="D0D7DE"/>
              <w:left w:val="single" w:sz="4" w:space="0" w:color="D0D7DE"/>
              <w:bottom w:val="single" w:sz="4" w:space="0" w:color="D0D7DE"/>
              <w:right w:val="single" w:sz="4" w:space="0" w:color="D0D7DE"/>
            </w:tcBorders>
            <w:shd w:val="clear" w:color="auto" w:fill="1E2640"/>
            <w:tcMar>
              <w:top w:w="100" w:type="dxa"/>
              <w:left w:w="140" w:type="dxa"/>
              <w:bottom w:w="100" w:type="dxa"/>
              <w:right w:w="140" w:type="dxa"/>
            </w:tcMar>
          </w:tcPr>
          <w:p w14:paraId="2D5B6873" w14:textId="77777777" w:rsidR="003729F6" w:rsidRDefault="00000000" w:rsidP="002C2F4B">
            <w:pPr>
              <w:spacing w:after="0"/>
              <w:jc w:val="both"/>
            </w:pPr>
            <w:r>
              <w:rPr>
                <w:rFonts w:ascii="Calibri" w:hAnsi="Calibri"/>
                <w:b/>
                <w:color w:val="FFFFFF"/>
                <w:sz w:val="20"/>
              </w:rPr>
              <w:t>Headcount</w:t>
            </w:r>
          </w:p>
        </w:tc>
        <w:tc>
          <w:tcPr>
            <w:tcW w:w="2016" w:type="dxa"/>
            <w:tcBorders>
              <w:top w:val="single" w:sz="4" w:space="0" w:color="D0D7DE"/>
              <w:left w:val="single" w:sz="4" w:space="0" w:color="D0D7DE"/>
              <w:bottom w:val="single" w:sz="4" w:space="0" w:color="D0D7DE"/>
              <w:right w:val="single" w:sz="4" w:space="0" w:color="D0D7DE"/>
            </w:tcBorders>
            <w:shd w:val="clear" w:color="auto" w:fill="1E2640"/>
            <w:tcMar>
              <w:top w:w="100" w:type="dxa"/>
              <w:left w:w="140" w:type="dxa"/>
              <w:bottom w:w="100" w:type="dxa"/>
              <w:right w:w="140" w:type="dxa"/>
            </w:tcMar>
          </w:tcPr>
          <w:p w14:paraId="26C2C498" w14:textId="77777777" w:rsidR="003729F6" w:rsidRDefault="00000000" w:rsidP="002C2F4B">
            <w:pPr>
              <w:spacing w:after="0"/>
              <w:jc w:val="both"/>
            </w:pPr>
            <w:r>
              <w:rPr>
                <w:rFonts w:ascii="Calibri" w:hAnsi="Calibri"/>
                <w:b/>
                <w:color w:val="FFFFFF"/>
                <w:sz w:val="20"/>
              </w:rPr>
              <w:t>Avg Years With Manager</w:t>
            </w:r>
          </w:p>
        </w:tc>
        <w:tc>
          <w:tcPr>
            <w:tcW w:w="1440" w:type="dxa"/>
            <w:tcBorders>
              <w:top w:val="single" w:sz="4" w:space="0" w:color="D0D7DE"/>
              <w:left w:val="single" w:sz="4" w:space="0" w:color="D0D7DE"/>
              <w:bottom w:val="single" w:sz="4" w:space="0" w:color="D0D7DE"/>
              <w:right w:val="single" w:sz="4" w:space="0" w:color="D0D7DE"/>
            </w:tcBorders>
            <w:shd w:val="clear" w:color="auto" w:fill="1E2640"/>
            <w:tcMar>
              <w:top w:w="100" w:type="dxa"/>
              <w:left w:w="140" w:type="dxa"/>
              <w:bottom w:w="100" w:type="dxa"/>
              <w:right w:w="140" w:type="dxa"/>
            </w:tcMar>
          </w:tcPr>
          <w:p w14:paraId="18FCB345" w14:textId="77777777" w:rsidR="003729F6" w:rsidRDefault="00000000" w:rsidP="002C2F4B">
            <w:pPr>
              <w:spacing w:after="0"/>
              <w:jc w:val="both"/>
            </w:pPr>
            <w:r>
              <w:rPr>
                <w:rFonts w:ascii="Calibri" w:hAnsi="Calibri"/>
                <w:b/>
                <w:color w:val="FFFFFF"/>
                <w:sz w:val="20"/>
              </w:rPr>
              <w:t>Attrition Count</w:t>
            </w:r>
          </w:p>
        </w:tc>
        <w:tc>
          <w:tcPr>
            <w:tcW w:w="1584" w:type="dxa"/>
            <w:tcBorders>
              <w:top w:val="single" w:sz="4" w:space="0" w:color="D0D7DE"/>
              <w:left w:val="single" w:sz="4" w:space="0" w:color="D0D7DE"/>
              <w:bottom w:val="single" w:sz="4" w:space="0" w:color="D0D7DE"/>
              <w:right w:val="single" w:sz="4" w:space="0" w:color="D0D7DE"/>
            </w:tcBorders>
            <w:shd w:val="clear" w:color="auto" w:fill="1E2640"/>
            <w:tcMar>
              <w:top w:w="100" w:type="dxa"/>
              <w:left w:w="140" w:type="dxa"/>
              <w:bottom w:w="100" w:type="dxa"/>
              <w:right w:w="140" w:type="dxa"/>
            </w:tcMar>
          </w:tcPr>
          <w:p w14:paraId="31760C73" w14:textId="77777777" w:rsidR="003729F6" w:rsidRDefault="00000000" w:rsidP="002C2F4B">
            <w:pPr>
              <w:spacing w:after="0"/>
              <w:jc w:val="both"/>
            </w:pPr>
            <w:r>
              <w:rPr>
                <w:rFonts w:ascii="Calibri" w:hAnsi="Calibri"/>
                <w:b/>
                <w:color w:val="FFFFFF"/>
                <w:sz w:val="20"/>
              </w:rPr>
              <w:t>Attrition Rate (%)</w:t>
            </w:r>
          </w:p>
        </w:tc>
      </w:tr>
      <w:tr w:rsidR="003729F6" w14:paraId="705F9409" w14:textId="77777777">
        <w:trPr>
          <w:cantSplit/>
          <w:jc w:val="center"/>
        </w:trPr>
        <w:tc>
          <w:tcPr>
            <w:tcW w:w="2880"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597CD172" w14:textId="77777777" w:rsidR="003729F6" w:rsidRDefault="00000000" w:rsidP="002C2F4B">
            <w:pPr>
              <w:spacing w:after="0"/>
              <w:jc w:val="both"/>
            </w:pPr>
            <w:r>
              <w:rPr>
                <w:rFonts w:ascii="Calibri" w:hAnsi="Calibri"/>
                <w:color w:val="333333"/>
                <w:sz w:val="20"/>
              </w:rPr>
              <w:lastRenderedPageBreak/>
              <w:t>New Relationship (&lt; 1 Yr)</w:t>
            </w:r>
          </w:p>
        </w:tc>
        <w:tc>
          <w:tcPr>
            <w:tcW w:w="1296"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247BDD87" w14:textId="77777777" w:rsidR="003729F6" w:rsidRDefault="00000000" w:rsidP="002C2F4B">
            <w:pPr>
              <w:spacing w:after="0"/>
              <w:jc w:val="both"/>
            </w:pPr>
            <w:r>
              <w:rPr>
                <w:rFonts w:ascii="Calibri" w:hAnsi="Calibri"/>
                <w:color w:val="333333"/>
                <w:sz w:val="20"/>
              </w:rPr>
              <w:t>339</w:t>
            </w:r>
          </w:p>
        </w:tc>
        <w:tc>
          <w:tcPr>
            <w:tcW w:w="2016"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3EEE5916" w14:textId="77777777" w:rsidR="003729F6" w:rsidRDefault="00000000" w:rsidP="002C2F4B">
            <w:pPr>
              <w:spacing w:after="0"/>
              <w:jc w:val="both"/>
            </w:pPr>
            <w:r>
              <w:rPr>
                <w:rFonts w:ascii="Calibri" w:hAnsi="Calibri"/>
                <w:color w:val="333333"/>
                <w:sz w:val="20"/>
              </w:rPr>
              <w:t>0.22</w:t>
            </w:r>
          </w:p>
        </w:tc>
        <w:tc>
          <w:tcPr>
            <w:tcW w:w="1440"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58DC810D" w14:textId="77777777" w:rsidR="003729F6" w:rsidRDefault="00000000" w:rsidP="002C2F4B">
            <w:pPr>
              <w:spacing w:after="0"/>
              <w:jc w:val="both"/>
            </w:pPr>
            <w:r>
              <w:rPr>
                <w:rFonts w:ascii="Calibri" w:hAnsi="Calibri"/>
                <w:color w:val="333333"/>
                <w:sz w:val="20"/>
              </w:rPr>
              <w:t>96</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1E4FA452" w14:textId="77777777" w:rsidR="003729F6" w:rsidRDefault="00000000" w:rsidP="002C2F4B">
            <w:pPr>
              <w:spacing w:after="0"/>
              <w:jc w:val="both"/>
            </w:pPr>
            <w:r>
              <w:rPr>
                <w:rFonts w:ascii="Calibri" w:hAnsi="Calibri"/>
                <w:color w:val="333333"/>
                <w:sz w:val="20"/>
              </w:rPr>
              <w:t>28.32%</w:t>
            </w:r>
          </w:p>
        </w:tc>
      </w:tr>
      <w:tr w:rsidR="003729F6" w14:paraId="442414F8" w14:textId="77777777">
        <w:trPr>
          <w:cantSplit/>
          <w:jc w:val="center"/>
        </w:trPr>
        <w:tc>
          <w:tcPr>
            <w:tcW w:w="2880"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1DBF0A98" w14:textId="77777777" w:rsidR="003729F6" w:rsidRDefault="00000000" w:rsidP="002C2F4B">
            <w:pPr>
              <w:spacing w:after="0"/>
              <w:jc w:val="both"/>
            </w:pPr>
            <w:r>
              <w:rPr>
                <w:rFonts w:ascii="Calibri" w:hAnsi="Calibri"/>
                <w:color w:val="333333"/>
                <w:sz w:val="20"/>
              </w:rPr>
              <w:t>Developing (1 - 3 Yrs)</w:t>
            </w:r>
          </w:p>
        </w:tc>
        <w:tc>
          <w:tcPr>
            <w:tcW w:w="1296"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45061D4B" w14:textId="77777777" w:rsidR="003729F6" w:rsidRDefault="00000000" w:rsidP="002C2F4B">
            <w:pPr>
              <w:spacing w:after="0"/>
              <w:jc w:val="both"/>
            </w:pPr>
            <w:r>
              <w:rPr>
                <w:rFonts w:ascii="Calibri" w:hAnsi="Calibri"/>
                <w:color w:val="333333"/>
                <w:sz w:val="20"/>
              </w:rPr>
              <w:t>584</w:t>
            </w:r>
          </w:p>
        </w:tc>
        <w:tc>
          <w:tcPr>
            <w:tcW w:w="2016"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169EA94E" w14:textId="77777777" w:rsidR="003729F6" w:rsidRDefault="00000000" w:rsidP="002C2F4B">
            <w:pPr>
              <w:spacing w:after="0"/>
              <w:jc w:val="both"/>
            </w:pPr>
            <w:r>
              <w:rPr>
                <w:rFonts w:ascii="Calibri" w:hAnsi="Calibri"/>
                <w:color w:val="333333"/>
                <w:sz w:val="20"/>
              </w:rPr>
              <w:t>2.58</w:t>
            </w:r>
          </w:p>
        </w:tc>
        <w:tc>
          <w:tcPr>
            <w:tcW w:w="1440"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5FD1CDC1" w14:textId="77777777" w:rsidR="003729F6" w:rsidRDefault="00000000" w:rsidP="002C2F4B">
            <w:pPr>
              <w:spacing w:after="0"/>
              <w:jc w:val="both"/>
            </w:pPr>
            <w:r>
              <w:rPr>
                <w:rFonts w:ascii="Calibri" w:hAnsi="Calibri"/>
                <w:color w:val="333333"/>
                <w:sz w:val="20"/>
              </w:rPr>
              <w:t>80</w:t>
            </w:r>
          </w:p>
        </w:tc>
        <w:tc>
          <w:tcPr>
            <w:tcW w:w="1584"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0ECF5CB4" w14:textId="77777777" w:rsidR="003729F6" w:rsidRDefault="00000000" w:rsidP="002C2F4B">
            <w:pPr>
              <w:spacing w:after="0"/>
              <w:jc w:val="both"/>
            </w:pPr>
            <w:r>
              <w:rPr>
                <w:rFonts w:ascii="Calibri" w:hAnsi="Calibri"/>
                <w:color w:val="333333"/>
                <w:sz w:val="20"/>
              </w:rPr>
              <w:t>13.70%</w:t>
            </w:r>
          </w:p>
        </w:tc>
      </w:tr>
      <w:tr w:rsidR="003729F6" w14:paraId="7AACCDE4" w14:textId="77777777">
        <w:trPr>
          <w:cantSplit/>
          <w:jc w:val="center"/>
        </w:trPr>
        <w:tc>
          <w:tcPr>
            <w:tcW w:w="2880"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3745550C" w14:textId="77777777" w:rsidR="003729F6" w:rsidRDefault="00000000" w:rsidP="002C2F4B">
            <w:pPr>
              <w:spacing w:after="0"/>
              <w:jc w:val="both"/>
            </w:pPr>
            <w:r>
              <w:rPr>
                <w:rFonts w:ascii="Calibri" w:hAnsi="Calibri"/>
                <w:color w:val="333333"/>
                <w:sz w:val="20"/>
              </w:rPr>
              <w:t>Stable (3 - 6 Yrs)</w:t>
            </w:r>
          </w:p>
        </w:tc>
        <w:tc>
          <w:tcPr>
            <w:tcW w:w="1296"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79DC76DC" w14:textId="77777777" w:rsidR="003729F6" w:rsidRDefault="00000000" w:rsidP="002C2F4B">
            <w:pPr>
              <w:spacing w:after="0"/>
              <w:jc w:val="both"/>
            </w:pPr>
            <w:r>
              <w:rPr>
                <w:rFonts w:ascii="Calibri" w:hAnsi="Calibri"/>
                <w:color w:val="333333"/>
                <w:sz w:val="20"/>
              </w:rPr>
              <w:t>447</w:t>
            </w:r>
          </w:p>
        </w:tc>
        <w:tc>
          <w:tcPr>
            <w:tcW w:w="2016"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19C8DD65" w14:textId="77777777" w:rsidR="003729F6" w:rsidRDefault="00000000" w:rsidP="002C2F4B">
            <w:pPr>
              <w:spacing w:after="0"/>
              <w:jc w:val="both"/>
            </w:pPr>
            <w:r>
              <w:rPr>
                <w:rFonts w:ascii="Calibri" w:hAnsi="Calibri"/>
                <w:color w:val="333333"/>
                <w:sz w:val="20"/>
              </w:rPr>
              <w:t>7.32</w:t>
            </w:r>
          </w:p>
        </w:tc>
        <w:tc>
          <w:tcPr>
            <w:tcW w:w="1440"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49E22EC0" w14:textId="77777777" w:rsidR="003729F6" w:rsidRDefault="00000000" w:rsidP="002C2F4B">
            <w:pPr>
              <w:spacing w:after="0"/>
              <w:jc w:val="both"/>
            </w:pPr>
            <w:r>
              <w:rPr>
                <w:rFonts w:ascii="Calibri" w:hAnsi="Calibri"/>
                <w:color w:val="333333"/>
                <w:sz w:val="20"/>
              </w:rPr>
              <w:t>55</w:t>
            </w:r>
          </w:p>
        </w:tc>
        <w:tc>
          <w:tcPr>
            <w:tcW w:w="1584"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05286B66" w14:textId="77777777" w:rsidR="003729F6" w:rsidRDefault="00000000" w:rsidP="002C2F4B">
            <w:pPr>
              <w:spacing w:after="0"/>
              <w:jc w:val="both"/>
            </w:pPr>
            <w:r>
              <w:rPr>
                <w:rFonts w:ascii="Calibri" w:hAnsi="Calibri"/>
                <w:color w:val="333333"/>
                <w:sz w:val="20"/>
              </w:rPr>
              <w:t>12.30%</w:t>
            </w:r>
          </w:p>
        </w:tc>
      </w:tr>
      <w:tr w:rsidR="003729F6" w14:paraId="05FA5C6B" w14:textId="77777777">
        <w:trPr>
          <w:cantSplit/>
          <w:jc w:val="center"/>
        </w:trPr>
        <w:tc>
          <w:tcPr>
            <w:tcW w:w="2880"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5263999D" w14:textId="77777777" w:rsidR="003729F6" w:rsidRDefault="00000000" w:rsidP="002C2F4B">
            <w:pPr>
              <w:spacing w:after="0"/>
              <w:jc w:val="both"/>
            </w:pPr>
            <w:r>
              <w:rPr>
                <w:rFonts w:ascii="Calibri" w:hAnsi="Calibri"/>
                <w:color w:val="333333"/>
                <w:sz w:val="20"/>
              </w:rPr>
              <w:t>Highly Stable (&gt; 6 Yrs)</w:t>
            </w:r>
          </w:p>
        </w:tc>
        <w:tc>
          <w:tcPr>
            <w:tcW w:w="1296"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52090A8E" w14:textId="77777777" w:rsidR="003729F6" w:rsidRDefault="00000000" w:rsidP="002C2F4B">
            <w:pPr>
              <w:spacing w:after="0"/>
              <w:jc w:val="both"/>
            </w:pPr>
            <w:r>
              <w:rPr>
                <w:rFonts w:ascii="Calibri" w:hAnsi="Calibri"/>
                <w:color w:val="333333"/>
                <w:sz w:val="20"/>
              </w:rPr>
              <w:t>100</w:t>
            </w:r>
          </w:p>
        </w:tc>
        <w:tc>
          <w:tcPr>
            <w:tcW w:w="2016"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3FE6C05A" w14:textId="77777777" w:rsidR="003729F6" w:rsidRDefault="00000000" w:rsidP="002C2F4B">
            <w:pPr>
              <w:spacing w:after="0"/>
              <w:jc w:val="both"/>
            </w:pPr>
            <w:r>
              <w:rPr>
                <w:rFonts w:ascii="Calibri" w:hAnsi="Calibri"/>
                <w:color w:val="333333"/>
                <w:sz w:val="20"/>
              </w:rPr>
              <w:t>12.06</w:t>
            </w:r>
          </w:p>
        </w:tc>
        <w:tc>
          <w:tcPr>
            <w:tcW w:w="1440"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126E2393" w14:textId="77777777" w:rsidR="003729F6" w:rsidRDefault="00000000" w:rsidP="002C2F4B">
            <w:pPr>
              <w:spacing w:after="0"/>
              <w:jc w:val="both"/>
            </w:pPr>
            <w:r>
              <w:rPr>
                <w:rFonts w:ascii="Calibri" w:hAnsi="Calibri"/>
                <w:color w:val="333333"/>
                <w:sz w:val="20"/>
              </w:rPr>
              <w:t>6</w:t>
            </w:r>
          </w:p>
        </w:tc>
        <w:tc>
          <w:tcPr>
            <w:tcW w:w="1584"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265780F1" w14:textId="77777777" w:rsidR="003729F6" w:rsidRDefault="00000000" w:rsidP="002C2F4B">
            <w:pPr>
              <w:spacing w:after="0"/>
              <w:jc w:val="both"/>
            </w:pPr>
            <w:r>
              <w:rPr>
                <w:rFonts w:ascii="Calibri" w:hAnsi="Calibri"/>
                <w:color w:val="333333"/>
                <w:sz w:val="20"/>
              </w:rPr>
              <w:t>6.00%</w:t>
            </w:r>
          </w:p>
        </w:tc>
      </w:tr>
    </w:tbl>
    <w:p w14:paraId="70B8378E" w14:textId="77777777" w:rsidR="003729F6" w:rsidRDefault="003729F6" w:rsidP="002C2F4B">
      <w:pPr>
        <w:spacing w:after="120"/>
        <w:jc w:val="both"/>
      </w:pPr>
    </w:p>
    <w:tbl>
      <w:tblPr>
        <w:tblW w:w="0" w:type="auto"/>
        <w:jc w:val="center"/>
        <w:tblLook w:val="04A0" w:firstRow="1" w:lastRow="0" w:firstColumn="1" w:lastColumn="0" w:noHBand="0" w:noVBand="1"/>
      </w:tblPr>
      <w:tblGrid>
        <w:gridCol w:w="4720"/>
      </w:tblGrid>
      <w:tr w:rsidR="003729F6" w14:paraId="1572E7A3" w14:textId="77777777">
        <w:trPr>
          <w:jc w:val="center"/>
        </w:trPr>
        <w:tc>
          <w:tcPr>
            <w:tcW w:w="9360" w:type="dxa"/>
            <w:tcBorders>
              <w:left w:val="single" w:sz="24" w:space="0" w:color="1E2640"/>
            </w:tcBorders>
            <w:shd w:val="clear" w:color="auto" w:fill="F2F4F8"/>
            <w:tcMar>
              <w:top w:w="140" w:type="dxa"/>
              <w:left w:w="200" w:type="dxa"/>
              <w:bottom w:w="140" w:type="dxa"/>
              <w:right w:w="200" w:type="dxa"/>
            </w:tcMar>
          </w:tcPr>
          <w:p w14:paraId="663835C0" w14:textId="77777777" w:rsidR="003729F6" w:rsidRDefault="00000000" w:rsidP="002C2F4B">
            <w:pPr>
              <w:spacing w:after="80"/>
              <w:jc w:val="both"/>
            </w:pPr>
            <w:r>
              <w:rPr>
                <w:rFonts w:ascii="Arial" w:hAnsi="Arial"/>
                <w:b/>
                <w:color w:val="1E2640"/>
              </w:rPr>
              <w:t>EMPIRICAL FINDING: THE MANAGERIAL RESET EFFECT</w:t>
            </w:r>
            <w:r>
              <w:rPr>
                <w:rFonts w:ascii="Arial" w:hAnsi="Arial"/>
                <w:b/>
                <w:color w:val="1E2640"/>
              </w:rPr>
              <w:br/>
            </w:r>
            <w:r>
              <w:rPr>
                <w:rFonts w:ascii="Calibri" w:hAnsi="Calibri"/>
                <w:i/>
                <w:color w:val="222222"/>
                <w:sz w:val="21"/>
              </w:rPr>
              <w:t>Employees in a 'New Relationship' with their manager (&lt;1 year) exhibit an attrition rate of 28.32%—more than 4.7 times higher than employees under 'Highly Stable' managers (6.00%). Frequent managerial re-orgs disrupt mentorship continuity, reset calibration equity, and directly trigger voluntary turnover.</w:t>
            </w:r>
          </w:p>
        </w:tc>
      </w:tr>
    </w:tbl>
    <w:p w14:paraId="742D065E" w14:textId="77777777" w:rsidR="003729F6" w:rsidRDefault="003729F6" w:rsidP="002C2F4B">
      <w:pPr>
        <w:spacing w:after="120"/>
        <w:jc w:val="both"/>
      </w:pPr>
    </w:p>
    <w:p w14:paraId="7E5A4027" w14:textId="77777777" w:rsidR="003729F6" w:rsidRDefault="00000000" w:rsidP="002C2F4B">
      <w:pPr>
        <w:keepNext/>
        <w:spacing w:before="400" w:after="160"/>
        <w:jc w:val="both"/>
      </w:pPr>
      <w:r>
        <w:rPr>
          <w:rFonts w:ascii="Arial" w:hAnsi="Arial"/>
          <w:b/>
          <w:color w:val="1E2640"/>
          <w:sz w:val="32"/>
        </w:rPr>
        <w:t>5. The Retention Opportunity Panel &amp; HR Interventions</w:t>
      </w:r>
    </w:p>
    <w:p w14:paraId="675C09AF" w14:textId="77777777" w:rsidR="003729F6" w:rsidRDefault="00000000" w:rsidP="002C2F4B">
      <w:pPr>
        <w:spacing w:after="120"/>
        <w:jc w:val="both"/>
      </w:pPr>
      <w:r>
        <w:rPr>
          <w:rFonts w:ascii="Calibri" w:hAnsi="Calibri"/>
          <w:color w:val="333333"/>
        </w:rPr>
        <w:t xml:space="preserve">Unlike predictive models that highlight disengaged employees after they have mentally committed to leaving, our framework establishes a Retention Opportunity Panel targeting active employees (Attrition = 0, N = </w:t>
      </w:r>
      <w:r>
        <w:rPr>
          <w:rFonts w:ascii="Calibri" w:hAnsi="Calibri"/>
          <w:color w:val="333333"/>
        </w:rPr>
        <w:t>1,233). By mapping career stagnation metrics against job satisfaction and tenure, a rule-based engine categorizes active staff into specific HR action plans.</w:t>
      </w:r>
    </w:p>
    <w:p w14:paraId="50EC5F9B" w14:textId="77777777" w:rsidR="003729F6" w:rsidRDefault="00000000" w:rsidP="002C2F4B">
      <w:pPr>
        <w:keepNext/>
        <w:spacing w:before="280" w:after="120"/>
        <w:jc w:val="both"/>
      </w:pPr>
      <w:r>
        <w:rPr>
          <w:rFonts w:ascii="Arial" w:hAnsi="Arial"/>
          <w:b/>
          <w:color w:val="C0392B"/>
          <w:sz w:val="26"/>
        </w:rPr>
        <w:t>5.1 Rule-Based Action Assignment Engine</w:t>
      </w:r>
    </w:p>
    <w:p w14:paraId="171C9FC4" w14:textId="77777777" w:rsidR="003729F6" w:rsidRDefault="00000000" w:rsidP="002C2F4B">
      <w:pPr>
        <w:spacing w:after="120"/>
        <w:jc w:val="both"/>
      </w:pPr>
      <w:r>
        <w:rPr>
          <w:rFonts w:ascii="Calibri" w:hAnsi="Calibri"/>
          <w:color w:val="333333"/>
        </w:rPr>
        <w:t>Each active employee is evaluated against the following prioritized decision framework:</w:t>
      </w:r>
    </w:p>
    <w:p w14:paraId="4029EF9B" w14:textId="77777777" w:rsidR="003729F6" w:rsidRDefault="00000000" w:rsidP="002C2F4B">
      <w:pPr>
        <w:pStyle w:val="ListBullet"/>
        <w:spacing w:after="80"/>
        <w:jc w:val="both"/>
      </w:pPr>
      <w:r>
        <w:rPr>
          <w:rFonts w:ascii="Calibri" w:hAnsi="Calibri"/>
          <w:b/>
          <w:color w:val="1E2640"/>
        </w:rPr>
        <w:t xml:space="preserve">1. Immediate Promotion / Compensation Review: </w:t>
      </w:r>
      <w:r>
        <w:rPr>
          <w:rFonts w:ascii="Calibri" w:hAnsi="Calibri"/>
          <w:color w:val="333333"/>
        </w:rPr>
        <w:t>Triggered if Years Since Last Promotion &gt;= 3.0 or Promotion Gap Ratio &gt;= 0.30.</w:t>
      </w:r>
    </w:p>
    <w:p w14:paraId="23D9D923" w14:textId="77777777" w:rsidR="003729F6" w:rsidRDefault="00000000" w:rsidP="002C2F4B">
      <w:pPr>
        <w:pStyle w:val="ListBullet"/>
        <w:spacing w:after="80"/>
        <w:jc w:val="both"/>
      </w:pPr>
      <w:r>
        <w:rPr>
          <w:rFonts w:ascii="Calibri" w:hAnsi="Calibri"/>
          <w:b/>
          <w:color w:val="1E2640"/>
        </w:rPr>
        <w:t xml:space="preserve">2. Lateral Role Rotation / New Project: </w:t>
      </w:r>
      <w:r>
        <w:rPr>
          <w:rFonts w:ascii="Calibri" w:hAnsi="Calibri"/>
          <w:color w:val="333333"/>
        </w:rPr>
        <w:t>Triggered if Role Stagnation Index &gt;= 0.50 (spending &gt;50% of company tenure in identical role).</w:t>
      </w:r>
    </w:p>
    <w:p w14:paraId="776BE6A8" w14:textId="77777777" w:rsidR="003729F6" w:rsidRDefault="00000000" w:rsidP="002C2F4B">
      <w:pPr>
        <w:pStyle w:val="ListBullet"/>
        <w:spacing w:after="80"/>
        <w:jc w:val="both"/>
      </w:pPr>
      <w:r>
        <w:rPr>
          <w:rFonts w:ascii="Calibri" w:hAnsi="Calibri"/>
          <w:b/>
          <w:color w:val="1E2640"/>
        </w:rPr>
        <w:t xml:space="preserve">3. Upskilling &amp; Training Program: </w:t>
      </w:r>
      <w:r>
        <w:rPr>
          <w:rFonts w:ascii="Calibri" w:hAnsi="Calibri"/>
          <w:color w:val="333333"/>
        </w:rPr>
        <w:t>Triggered if Training Intensity Score &lt; 0.25.</w:t>
      </w:r>
    </w:p>
    <w:p w14:paraId="017CBE29" w14:textId="77777777" w:rsidR="003729F6" w:rsidRDefault="00000000" w:rsidP="002C2F4B">
      <w:pPr>
        <w:pStyle w:val="ListBullet"/>
        <w:spacing w:after="80"/>
        <w:jc w:val="both"/>
      </w:pPr>
      <w:r>
        <w:rPr>
          <w:rFonts w:ascii="Calibri" w:hAnsi="Calibri"/>
          <w:b/>
          <w:color w:val="1E2640"/>
        </w:rPr>
        <w:t xml:space="preserve">4. Manager Alignment &amp; Mentorship: </w:t>
      </w:r>
      <w:r>
        <w:rPr>
          <w:rFonts w:ascii="Calibri" w:hAnsi="Calibri"/>
          <w:color w:val="333333"/>
        </w:rPr>
        <w:t>Triggered if Manager Stability Level == 'New Relationship'.</w:t>
      </w:r>
    </w:p>
    <w:p w14:paraId="2997D994" w14:textId="77777777" w:rsidR="003729F6" w:rsidRDefault="00000000" w:rsidP="002C2F4B">
      <w:pPr>
        <w:pStyle w:val="ListBullet"/>
        <w:spacing w:after="80"/>
        <w:jc w:val="both"/>
      </w:pPr>
      <w:r>
        <w:rPr>
          <w:rFonts w:ascii="Calibri" w:hAnsi="Calibri"/>
          <w:b/>
          <w:color w:val="1E2640"/>
        </w:rPr>
        <w:t xml:space="preserve">5. Regular Monitoring: </w:t>
      </w:r>
      <w:r>
        <w:rPr>
          <w:rFonts w:ascii="Calibri" w:hAnsi="Calibri"/>
          <w:color w:val="333333"/>
        </w:rPr>
        <w:t>Assigned to employees displaying balanced career progression metrics.</w:t>
      </w:r>
    </w:p>
    <w:p w14:paraId="4182BC76" w14:textId="77777777" w:rsidR="003729F6" w:rsidRDefault="00000000" w:rsidP="002C2F4B">
      <w:pPr>
        <w:keepNext/>
        <w:spacing w:before="280" w:after="120"/>
        <w:jc w:val="both"/>
      </w:pPr>
      <w:r>
        <w:rPr>
          <w:rFonts w:ascii="Arial" w:hAnsi="Arial"/>
          <w:b/>
          <w:color w:val="C0392B"/>
          <w:sz w:val="26"/>
        </w:rPr>
        <w:t>5.2 Active Employee Intervention Register</w:t>
      </w:r>
    </w:p>
    <w:p w14:paraId="4F84DAF6" w14:textId="77777777" w:rsidR="003729F6" w:rsidRDefault="00000000" w:rsidP="002C2F4B">
      <w:pPr>
        <w:spacing w:after="120"/>
        <w:jc w:val="both"/>
      </w:pPr>
      <w:r>
        <w:rPr>
          <w:rFonts w:ascii="Calibri" w:hAnsi="Calibri"/>
          <w:color w:val="333333"/>
        </w:rPr>
        <w:t>Table 5 details the distribution of recommended retention actions across the 1,233 active employees:</w:t>
      </w:r>
    </w:p>
    <w:tbl>
      <w:tblPr>
        <w:tblW w:w="0" w:type="auto"/>
        <w:jc w:val="center"/>
        <w:tblLook w:val="04A0" w:firstRow="1" w:lastRow="0" w:firstColumn="1" w:lastColumn="0" w:noHBand="0" w:noVBand="1"/>
      </w:tblPr>
      <w:tblGrid>
        <w:gridCol w:w="1096"/>
        <w:gridCol w:w="815"/>
        <w:gridCol w:w="855"/>
        <w:gridCol w:w="878"/>
        <w:gridCol w:w="956"/>
      </w:tblGrid>
      <w:tr w:rsidR="003729F6" w14:paraId="641FB7BC" w14:textId="77777777">
        <w:trPr>
          <w:cantSplit/>
          <w:tblHeader/>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1E2640"/>
            <w:tcMar>
              <w:top w:w="100" w:type="dxa"/>
              <w:left w:w="140" w:type="dxa"/>
              <w:bottom w:w="100" w:type="dxa"/>
              <w:right w:w="140" w:type="dxa"/>
            </w:tcMar>
          </w:tcPr>
          <w:p w14:paraId="36D0FAAA" w14:textId="77777777" w:rsidR="003729F6" w:rsidRDefault="00000000" w:rsidP="002C2F4B">
            <w:pPr>
              <w:spacing w:after="0"/>
              <w:jc w:val="both"/>
            </w:pPr>
            <w:r>
              <w:rPr>
                <w:rFonts w:ascii="Calibri" w:hAnsi="Calibri"/>
                <w:b/>
                <w:color w:val="FFFFFF"/>
                <w:sz w:val="20"/>
              </w:rPr>
              <w:t>Recommended HR Action Plan</w:t>
            </w:r>
          </w:p>
        </w:tc>
        <w:tc>
          <w:tcPr>
            <w:tcW w:w="1296" w:type="dxa"/>
            <w:tcBorders>
              <w:top w:val="single" w:sz="4" w:space="0" w:color="D0D7DE"/>
              <w:left w:val="single" w:sz="4" w:space="0" w:color="D0D7DE"/>
              <w:bottom w:val="single" w:sz="4" w:space="0" w:color="D0D7DE"/>
              <w:right w:val="single" w:sz="4" w:space="0" w:color="D0D7DE"/>
            </w:tcBorders>
            <w:shd w:val="clear" w:color="auto" w:fill="1E2640"/>
            <w:tcMar>
              <w:top w:w="100" w:type="dxa"/>
              <w:left w:w="140" w:type="dxa"/>
              <w:bottom w:w="100" w:type="dxa"/>
              <w:right w:w="140" w:type="dxa"/>
            </w:tcMar>
          </w:tcPr>
          <w:p w14:paraId="0A2D29CC" w14:textId="77777777" w:rsidR="003729F6" w:rsidRDefault="00000000" w:rsidP="002C2F4B">
            <w:pPr>
              <w:spacing w:after="0"/>
              <w:jc w:val="both"/>
            </w:pPr>
            <w:r>
              <w:rPr>
                <w:rFonts w:ascii="Calibri" w:hAnsi="Calibri"/>
                <w:b/>
                <w:color w:val="FFFFFF"/>
                <w:sz w:val="20"/>
              </w:rPr>
              <w:t>Active Employee Count</w:t>
            </w:r>
          </w:p>
        </w:tc>
        <w:tc>
          <w:tcPr>
            <w:tcW w:w="1440" w:type="dxa"/>
            <w:tcBorders>
              <w:top w:val="single" w:sz="4" w:space="0" w:color="D0D7DE"/>
              <w:left w:val="single" w:sz="4" w:space="0" w:color="D0D7DE"/>
              <w:bottom w:val="single" w:sz="4" w:space="0" w:color="D0D7DE"/>
              <w:right w:val="single" w:sz="4" w:space="0" w:color="D0D7DE"/>
            </w:tcBorders>
            <w:shd w:val="clear" w:color="auto" w:fill="1E2640"/>
            <w:tcMar>
              <w:top w:w="100" w:type="dxa"/>
              <w:left w:w="140" w:type="dxa"/>
              <w:bottom w:w="100" w:type="dxa"/>
              <w:right w:w="140" w:type="dxa"/>
            </w:tcMar>
          </w:tcPr>
          <w:p w14:paraId="01A92904" w14:textId="77777777" w:rsidR="003729F6" w:rsidRDefault="00000000" w:rsidP="002C2F4B">
            <w:pPr>
              <w:spacing w:after="0"/>
              <w:jc w:val="both"/>
            </w:pPr>
            <w:r>
              <w:rPr>
                <w:rFonts w:ascii="Calibri" w:hAnsi="Calibri"/>
                <w:b/>
                <w:color w:val="FFFFFF"/>
                <w:sz w:val="20"/>
              </w:rPr>
              <w:t>% of Active Workforce</w:t>
            </w:r>
          </w:p>
        </w:tc>
        <w:tc>
          <w:tcPr>
            <w:tcW w:w="2016" w:type="dxa"/>
            <w:tcBorders>
              <w:top w:val="single" w:sz="4" w:space="0" w:color="D0D7DE"/>
              <w:left w:val="single" w:sz="4" w:space="0" w:color="D0D7DE"/>
              <w:bottom w:val="single" w:sz="4" w:space="0" w:color="D0D7DE"/>
              <w:right w:val="single" w:sz="4" w:space="0" w:color="D0D7DE"/>
            </w:tcBorders>
            <w:shd w:val="clear" w:color="auto" w:fill="1E2640"/>
            <w:tcMar>
              <w:top w:w="100" w:type="dxa"/>
              <w:left w:w="140" w:type="dxa"/>
              <w:bottom w:w="100" w:type="dxa"/>
              <w:right w:w="140" w:type="dxa"/>
            </w:tcMar>
          </w:tcPr>
          <w:p w14:paraId="519730E1" w14:textId="77777777" w:rsidR="003729F6" w:rsidRDefault="00000000" w:rsidP="002C2F4B">
            <w:pPr>
              <w:spacing w:after="0"/>
              <w:jc w:val="both"/>
            </w:pPr>
            <w:r>
              <w:rPr>
                <w:rFonts w:ascii="Calibri" w:hAnsi="Calibri"/>
                <w:b/>
                <w:color w:val="FFFFFF"/>
                <w:sz w:val="20"/>
              </w:rPr>
              <w:t>Primary Risk Driver Identified</w:t>
            </w:r>
          </w:p>
        </w:tc>
        <w:tc>
          <w:tcPr>
            <w:tcW w:w="2016" w:type="dxa"/>
            <w:tcBorders>
              <w:top w:val="single" w:sz="4" w:space="0" w:color="D0D7DE"/>
              <w:left w:val="single" w:sz="4" w:space="0" w:color="D0D7DE"/>
              <w:bottom w:val="single" w:sz="4" w:space="0" w:color="D0D7DE"/>
              <w:right w:val="single" w:sz="4" w:space="0" w:color="D0D7DE"/>
            </w:tcBorders>
            <w:shd w:val="clear" w:color="auto" w:fill="1E2640"/>
            <w:tcMar>
              <w:top w:w="100" w:type="dxa"/>
              <w:left w:w="140" w:type="dxa"/>
              <w:bottom w:w="100" w:type="dxa"/>
              <w:right w:w="140" w:type="dxa"/>
            </w:tcMar>
          </w:tcPr>
          <w:p w14:paraId="303B0AF2" w14:textId="77777777" w:rsidR="003729F6" w:rsidRDefault="00000000" w:rsidP="002C2F4B">
            <w:pPr>
              <w:spacing w:after="0"/>
              <w:jc w:val="both"/>
            </w:pPr>
            <w:r>
              <w:rPr>
                <w:rFonts w:ascii="Calibri" w:hAnsi="Calibri"/>
                <w:b/>
                <w:color w:val="FFFFFF"/>
                <w:sz w:val="20"/>
              </w:rPr>
              <w:t>Strategic HR Intervention Policy</w:t>
            </w:r>
          </w:p>
        </w:tc>
      </w:tr>
      <w:tr w:rsidR="003729F6" w14:paraId="38524191" w14:textId="77777777">
        <w:trPr>
          <w:cantSplit/>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2FD88EA0" w14:textId="77777777" w:rsidR="003729F6" w:rsidRDefault="00000000" w:rsidP="002C2F4B">
            <w:pPr>
              <w:spacing w:after="0"/>
              <w:jc w:val="both"/>
            </w:pPr>
            <w:r>
              <w:rPr>
                <w:rFonts w:ascii="Calibri" w:hAnsi="Calibri"/>
                <w:color w:val="333333"/>
                <w:sz w:val="20"/>
              </w:rPr>
              <w:lastRenderedPageBreak/>
              <w:t>Immediate Promotion / Compensation Review</w:t>
            </w:r>
          </w:p>
        </w:tc>
        <w:tc>
          <w:tcPr>
            <w:tcW w:w="1296"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21E4561C" w14:textId="77777777" w:rsidR="003729F6" w:rsidRDefault="00000000" w:rsidP="002C2F4B">
            <w:pPr>
              <w:spacing w:after="0"/>
              <w:jc w:val="both"/>
            </w:pPr>
            <w:r>
              <w:rPr>
                <w:rFonts w:ascii="Calibri" w:hAnsi="Calibri"/>
                <w:color w:val="333333"/>
                <w:sz w:val="20"/>
              </w:rPr>
              <w:t>493</w:t>
            </w:r>
          </w:p>
        </w:tc>
        <w:tc>
          <w:tcPr>
            <w:tcW w:w="1440"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4FC83CAC" w14:textId="77777777" w:rsidR="003729F6" w:rsidRDefault="00000000" w:rsidP="002C2F4B">
            <w:pPr>
              <w:spacing w:after="0"/>
              <w:jc w:val="both"/>
            </w:pPr>
            <w:r>
              <w:rPr>
                <w:rFonts w:ascii="Calibri" w:hAnsi="Calibri"/>
                <w:color w:val="333333"/>
                <w:sz w:val="20"/>
              </w:rPr>
              <w:t>39.98%</w:t>
            </w:r>
          </w:p>
        </w:tc>
        <w:tc>
          <w:tcPr>
            <w:tcW w:w="2016"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4FCC7DC8" w14:textId="77777777" w:rsidR="003729F6" w:rsidRDefault="00000000" w:rsidP="002C2F4B">
            <w:pPr>
              <w:spacing w:after="0"/>
              <w:jc w:val="both"/>
            </w:pPr>
            <w:r>
              <w:rPr>
                <w:rFonts w:ascii="Calibri" w:hAnsi="Calibri"/>
                <w:color w:val="333333"/>
                <w:sz w:val="20"/>
              </w:rPr>
              <w:t>Promotion freeze (&gt;=3 yrs waiting)</w:t>
            </w:r>
          </w:p>
        </w:tc>
        <w:tc>
          <w:tcPr>
            <w:tcW w:w="2016"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73023FB0" w14:textId="77777777" w:rsidR="003729F6" w:rsidRDefault="00000000" w:rsidP="002C2F4B">
            <w:pPr>
              <w:spacing w:after="0"/>
              <w:jc w:val="both"/>
            </w:pPr>
            <w:r>
              <w:rPr>
                <w:rFonts w:ascii="Calibri" w:hAnsi="Calibri"/>
                <w:color w:val="333333"/>
                <w:sz w:val="20"/>
              </w:rPr>
              <w:t>Accelerated title review &amp; salary adjustment</w:t>
            </w:r>
          </w:p>
        </w:tc>
      </w:tr>
      <w:tr w:rsidR="003729F6" w14:paraId="0C359955" w14:textId="77777777">
        <w:trPr>
          <w:cantSplit/>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46AA309E" w14:textId="77777777" w:rsidR="003729F6" w:rsidRDefault="00000000" w:rsidP="002C2F4B">
            <w:pPr>
              <w:spacing w:after="0"/>
              <w:jc w:val="both"/>
            </w:pPr>
            <w:r>
              <w:rPr>
                <w:rFonts w:ascii="Calibri" w:hAnsi="Calibri"/>
                <w:color w:val="333333"/>
                <w:sz w:val="20"/>
              </w:rPr>
              <w:t>Lateral Role Rotation / New Project</w:t>
            </w:r>
          </w:p>
        </w:tc>
        <w:tc>
          <w:tcPr>
            <w:tcW w:w="1296"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0A17E82E" w14:textId="77777777" w:rsidR="003729F6" w:rsidRDefault="00000000" w:rsidP="002C2F4B">
            <w:pPr>
              <w:spacing w:after="0"/>
              <w:jc w:val="both"/>
            </w:pPr>
            <w:r>
              <w:rPr>
                <w:rFonts w:ascii="Calibri" w:hAnsi="Calibri"/>
                <w:color w:val="333333"/>
                <w:sz w:val="20"/>
              </w:rPr>
              <w:t>471</w:t>
            </w:r>
          </w:p>
        </w:tc>
        <w:tc>
          <w:tcPr>
            <w:tcW w:w="1440"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5232EAD3" w14:textId="77777777" w:rsidR="003729F6" w:rsidRDefault="00000000" w:rsidP="002C2F4B">
            <w:pPr>
              <w:spacing w:after="0"/>
              <w:jc w:val="both"/>
            </w:pPr>
            <w:r>
              <w:rPr>
                <w:rFonts w:ascii="Calibri" w:hAnsi="Calibri"/>
                <w:color w:val="333333"/>
                <w:sz w:val="20"/>
              </w:rPr>
              <w:t>38.20%</w:t>
            </w:r>
          </w:p>
        </w:tc>
        <w:tc>
          <w:tcPr>
            <w:tcW w:w="2016"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066790C0" w14:textId="77777777" w:rsidR="003729F6" w:rsidRDefault="00000000" w:rsidP="002C2F4B">
            <w:pPr>
              <w:spacing w:after="0"/>
              <w:jc w:val="both"/>
            </w:pPr>
            <w:r>
              <w:rPr>
                <w:rFonts w:ascii="Calibri" w:hAnsi="Calibri"/>
                <w:color w:val="333333"/>
                <w:sz w:val="20"/>
              </w:rPr>
              <w:t>Role stagnation (RSI &gt;= 0.50)</w:t>
            </w:r>
          </w:p>
        </w:tc>
        <w:tc>
          <w:tcPr>
            <w:tcW w:w="2016"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4E28BF09" w14:textId="77777777" w:rsidR="003729F6" w:rsidRDefault="00000000" w:rsidP="002C2F4B">
            <w:pPr>
              <w:spacing w:after="0"/>
              <w:jc w:val="both"/>
            </w:pPr>
            <w:r>
              <w:rPr>
                <w:rFonts w:ascii="Calibri" w:hAnsi="Calibri"/>
                <w:color w:val="333333"/>
                <w:sz w:val="20"/>
              </w:rPr>
              <w:t>Cross-functional project assignment &amp; rotation</w:t>
            </w:r>
          </w:p>
        </w:tc>
      </w:tr>
      <w:tr w:rsidR="003729F6" w14:paraId="600DB79F" w14:textId="77777777">
        <w:trPr>
          <w:cantSplit/>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7F481C47" w14:textId="77777777" w:rsidR="003729F6" w:rsidRDefault="00000000" w:rsidP="002C2F4B">
            <w:pPr>
              <w:spacing w:after="0"/>
              <w:jc w:val="both"/>
            </w:pPr>
            <w:r>
              <w:rPr>
                <w:rFonts w:ascii="Calibri" w:hAnsi="Calibri"/>
                <w:color w:val="333333"/>
                <w:sz w:val="20"/>
              </w:rPr>
              <w:t>Manager Alignment &amp; Mentorship</w:t>
            </w:r>
          </w:p>
        </w:tc>
        <w:tc>
          <w:tcPr>
            <w:tcW w:w="1296"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0C71DE29" w14:textId="77777777" w:rsidR="003729F6" w:rsidRDefault="00000000" w:rsidP="002C2F4B">
            <w:pPr>
              <w:spacing w:after="0"/>
              <w:jc w:val="both"/>
            </w:pPr>
            <w:r>
              <w:rPr>
                <w:rFonts w:ascii="Calibri" w:hAnsi="Calibri"/>
                <w:color w:val="333333"/>
                <w:sz w:val="20"/>
              </w:rPr>
              <w:t>131</w:t>
            </w:r>
          </w:p>
        </w:tc>
        <w:tc>
          <w:tcPr>
            <w:tcW w:w="1440"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076482DF" w14:textId="77777777" w:rsidR="003729F6" w:rsidRDefault="00000000" w:rsidP="002C2F4B">
            <w:pPr>
              <w:spacing w:after="0"/>
              <w:jc w:val="both"/>
            </w:pPr>
            <w:r>
              <w:rPr>
                <w:rFonts w:ascii="Calibri" w:hAnsi="Calibri"/>
                <w:color w:val="333333"/>
                <w:sz w:val="20"/>
              </w:rPr>
              <w:t>10.62%</w:t>
            </w:r>
          </w:p>
        </w:tc>
        <w:tc>
          <w:tcPr>
            <w:tcW w:w="2016"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35FD4C6D" w14:textId="77777777" w:rsidR="003729F6" w:rsidRDefault="00000000" w:rsidP="002C2F4B">
            <w:pPr>
              <w:spacing w:after="0"/>
              <w:jc w:val="both"/>
            </w:pPr>
            <w:r>
              <w:rPr>
                <w:rFonts w:ascii="Calibri" w:hAnsi="Calibri"/>
                <w:color w:val="333333"/>
                <w:sz w:val="20"/>
              </w:rPr>
              <w:t>Managerial change (&lt;1 yr with mgr)</w:t>
            </w:r>
          </w:p>
        </w:tc>
        <w:tc>
          <w:tcPr>
            <w:tcW w:w="2016"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5169B9E7" w14:textId="77777777" w:rsidR="003729F6" w:rsidRDefault="00000000" w:rsidP="002C2F4B">
            <w:pPr>
              <w:spacing w:after="0"/>
              <w:jc w:val="both"/>
            </w:pPr>
            <w:r>
              <w:rPr>
                <w:rFonts w:ascii="Calibri" w:hAnsi="Calibri"/>
                <w:color w:val="333333"/>
                <w:sz w:val="20"/>
              </w:rPr>
              <w:t>Structured 1-on-1 onboarding &amp; mentor pairing</w:t>
            </w:r>
          </w:p>
        </w:tc>
      </w:tr>
      <w:tr w:rsidR="003729F6" w14:paraId="2757C77B" w14:textId="77777777">
        <w:trPr>
          <w:cantSplit/>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094A2D66" w14:textId="77777777" w:rsidR="003729F6" w:rsidRDefault="00000000" w:rsidP="002C2F4B">
            <w:pPr>
              <w:spacing w:after="0"/>
              <w:jc w:val="both"/>
            </w:pPr>
            <w:r>
              <w:rPr>
                <w:rFonts w:ascii="Calibri" w:hAnsi="Calibri"/>
                <w:color w:val="333333"/>
                <w:sz w:val="20"/>
              </w:rPr>
              <w:t>Regular Monitoring</w:t>
            </w:r>
          </w:p>
        </w:tc>
        <w:tc>
          <w:tcPr>
            <w:tcW w:w="1296"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7DBC6556" w14:textId="77777777" w:rsidR="003729F6" w:rsidRDefault="00000000" w:rsidP="002C2F4B">
            <w:pPr>
              <w:spacing w:after="0"/>
              <w:jc w:val="both"/>
            </w:pPr>
            <w:r>
              <w:rPr>
                <w:rFonts w:ascii="Calibri" w:hAnsi="Calibri"/>
                <w:color w:val="333333"/>
                <w:sz w:val="20"/>
              </w:rPr>
              <w:t>90</w:t>
            </w:r>
          </w:p>
        </w:tc>
        <w:tc>
          <w:tcPr>
            <w:tcW w:w="1440"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3F8898CA" w14:textId="77777777" w:rsidR="003729F6" w:rsidRDefault="00000000" w:rsidP="002C2F4B">
            <w:pPr>
              <w:spacing w:after="0"/>
              <w:jc w:val="both"/>
            </w:pPr>
            <w:r>
              <w:rPr>
                <w:rFonts w:ascii="Calibri" w:hAnsi="Calibri"/>
                <w:color w:val="333333"/>
                <w:sz w:val="20"/>
              </w:rPr>
              <w:t>7.30%</w:t>
            </w:r>
          </w:p>
        </w:tc>
        <w:tc>
          <w:tcPr>
            <w:tcW w:w="2016"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765A63A8" w14:textId="77777777" w:rsidR="003729F6" w:rsidRDefault="00000000" w:rsidP="002C2F4B">
            <w:pPr>
              <w:spacing w:after="0"/>
              <w:jc w:val="both"/>
            </w:pPr>
            <w:r>
              <w:rPr>
                <w:rFonts w:ascii="Calibri" w:hAnsi="Calibri"/>
                <w:color w:val="333333"/>
                <w:sz w:val="20"/>
              </w:rPr>
              <w:t>Low stagnation risk</w:t>
            </w:r>
          </w:p>
        </w:tc>
        <w:tc>
          <w:tcPr>
            <w:tcW w:w="2016"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04AE21EA" w14:textId="77777777" w:rsidR="003729F6" w:rsidRDefault="00000000" w:rsidP="002C2F4B">
            <w:pPr>
              <w:spacing w:after="0"/>
              <w:jc w:val="both"/>
            </w:pPr>
            <w:r>
              <w:rPr>
                <w:rFonts w:ascii="Calibri" w:hAnsi="Calibri"/>
                <w:color w:val="333333"/>
                <w:sz w:val="20"/>
              </w:rPr>
              <w:t>Standard annual review cycle</w:t>
            </w:r>
          </w:p>
        </w:tc>
      </w:tr>
      <w:tr w:rsidR="003729F6" w14:paraId="1FCE09EB" w14:textId="77777777">
        <w:trPr>
          <w:cantSplit/>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6D8C795F" w14:textId="77777777" w:rsidR="003729F6" w:rsidRDefault="00000000" w:rsidP="002C2F4B">
            <w:pPr>
              <w:spacing w:after="0"/>
              <w:jc w:val="both"/>
            </w:pPr>
            <w:r>
              <w:rPr>
                <w:rFonts w:ascii="Calibri" w:hAnsi="Calibri"/>
                <w:color w:val="333333"/>
                <w:sz w:val="20"/>
              </w:rPr>
              <w:t>Upskilling &amp; Training Program</w:t>
            </w:r>
          </w:p>
        </w:tc>
        <w:tc>
          <w:tcPr>
            <w:tcW w:w="1296"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41191A7D" w14:textId="77777777" w:rsidR="003729F6" w:rsidRDefault="00000000" w:rsidP="002C2F4B">
            <w:pPr>
              <w:spacing w:after="0"/>
              <w:jc w:val="both"/>
            </w:pPr>
            <w:r>
              <w:rPr>
                <w:rFonts w:ascii="Calibri" w:hAnsi="Calibri"/>
                <w:color w:val="333333"/>
                <w:sz w:val="20"/>
              </w:rPr>
              <w:t>48</w:t>
            </w:r>
          </w:p>
        </w:tc>
        <w:tc>
          <w:tcPr>
            <w:tcW w:w="1440"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7B19F351" w14:textId="77777777" w:rsidR="003729F6" w:rsidRDefault="00000000" w:rsidP="002C2F4B">
            <w:pPr>
              <w:spacing w:after="0"/>
              <w:jc w:val="both"/>
            </w:pPr>
            <w:r>
              <w:rPr>
                <w:rFonts w:ascii="Calibri" w:hAnsi="Calibri"/>
                <w:color w:val="333333"/>
                <w:sz w:val="20"/>
              </w:rPr>
              <w:t>3.89%</w:t>
            </w:r>
          </w:p>
        </w:tc>
        <w:tc>
          <w:tcPr>
            <w:tcW w:w="2016"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2D985653" w14:textId="77777777" w:rsidR="003729F6" w:rsidRDefault="00000000" w:rsidP="002C2F4B">
            <w:pPr>
              <w:spacing w:after="0"/>
              <w:jc w:val="both"/>
            </w:pPr>
            <w:r>
              <w:rPr>
                <w:rFonts w:ascii="Calibri" w:hAnsi="Calibri"/>
                <w:color w:val="333333"/>
                <w:sz w:val="20"/>
              </w:rPr>
              <w:t>Low training intensity (&lt;0.25)</w:t>
            </w:r>
          </w:p>
        </w:tc>
        <w:tc>
          <w:tcPr>
            <w:tcW w:w="2016" w:type="dxa"/>
            <w:tcBorders>
              <w:top w:val="single" w:sz="4" w:space="0" w:color="D0D7DE"/>
              <w:left w:val="single" w:sz="4" w:space="0" w:color="D0D7DE"/>
              <w:bottom w:val="single" w:sz="4" w:space="0" w:color="D0D7DE"/>
              <w:right w:val="single" w:sz="4" w:space="0" w:color="D0D7DE"/>
            </w:tcBorders>
            <w:shd w:val="clear" w:color="auto" w:fill="FFFFFF"/>
            <w:tcMar>
              <w:top w:w="100" w:type="dxa"/>
              <w:left w:w="140" w:type="dxa"/>
              <w:bottom w:w="100" w:type="dxa"/>
              <w:right w:w="140" w:type="dxa"/>
            </w:tcMar>
          </w:tcPr>
          <w:p w14:paraId="48347735" w14:textId="77777777" w:rsidR="003729F6" w:rsidRDefault="00000000" w:rsidP="002C2F4B">
            <w:pPr>
              <w:spacing w:after="0"/>
              <w:jc w:val="both"/>
            </w:pPr>
            <w:r>
              <w:rPr>
                <w:rFonts w:ascii="Calibri" w:hAnsi="Calibri"/>
                <w:color w:val="333333"/>
                <w:sz w:val="20"/>
              </w:rPr>
              <w:t>Mandatory technical certification sponsorship</w:t>
            </w:r>
          </w:p>
        </w:tc>
      </w:tr>
      <w:tr w:rsidR="003729F6" w14:paraId="7B7F6877" w14:textId="77777777">
        <w:trPr>
          <w:cantSplit/>
          <w:jc w:val="center"/>
        </w:trPr>
        <w:tc>
          <w:tcPr>
            <w:tcW w:w="2592"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3E5F31CC" w14:textId="77777777" w:rsidR="003729F6" w:rsidRDefault="00000000" w:rsidP="002C2F4B">
            <w:pPr>
              <w:spacing w:after="0"/>
              <w:jc w:val="both"/>
            </w:pPr>
            <w:r>
              <w:rPr>
                <w:rFonts w:ascii="Calibri" w:hAnsi="Calibri"/>
                <w:color w:val="333333"/>
                <w:sz w:val="20"/>
              </w:rPr>
              <w:t>Total Active Employees</w:t>
            </w:r>
          </w:p>
        </w:tc>
        <w:tc>
          <w:tcPr>
            <w:tcW w:w="1296"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65062624" w14:textId="77777777" w:rsidR="003729F6" w:rsidRDefault="00000000" w:rsidP="002C2F4B">
            <w:pPr>
              <w:spacing w:after="0"/>
              <w:jc w:val="both"/>
            </w:pPr>
            <w:r>
              <w:rPr>
                <w:rFonts w:ascii="Calibri" w:hAnsi="Calibri"/>
                <w:color w:val="333333"/>
                <w:sz w:val="20"/>
              </w:rPr>
              <w:t>1,233</w:t>
            </w:r>
          </w:p>
        </w:tc>
        <w:tc>
          <w:tcPr>
            <w:tcW w:w="1440"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37F21469" w14:textId="77777777" w:rsidR="003729F6" w:rsidRDefault="00000000" w:rsidP="002C2F4B">
            <w:pPr>
              <w:spacing w:after="0"/>
              <w:jc w:val="both"/>
            </w:pPr>
            <w:r>
              <w:rPr>
                <w:rFonts w:ascii="Calibri" w:hAnsi="Calibri"/>
                <w:color w:val="333333"/>
                <w:sz w:val="20"/>
              </w:rPr>
              <w:t>100.00%</w:t>
            </w:r>
          </w:p>
        </w:tc>
        <w:tc>
          <w:tcPr>
            <w:tcW w:w="2016"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5D05D81C" w14:textId="77777777" w:rsidR="003729F6" w:rsidRDefault="00000000" w:rsidP="002C2F4B">
            <w:pPr>
              <w:spacing w:after="0"/>
              <w:jc w:val="both"/>
            </w:pPr>
            <w:r>
              <w:rPr>
                <w:rFonts w:ascii="Calibri" w:hAnsi="Calibri"/>
                <w:color w:val="333333"/>
                <w:sz w:val="20"/>
              </w:rPr>
              <w:t>-</w:t>
            </w:r>
          </w:p>
        </w:tc>
        <w:tc>
          <w:tcPr>
            <w:tcW w:w="2016" w:type="dxa"/>
            <w:tcBorders>
              <w:top w:val="single" w:sz="4" w:space="0" w:color="D0D7DE"/>
              <w:left w:val="single" w:sz="4" w:space="0" w:color="D0D7DE"/>
              <w:bottom w:val="single" w:sz="4" w:space="0" w:color="D0D7DE"/>
              <w:right w:val="single" w:sz="4" w:space="0" w:color="D0D7DE"/>
            </w:tcBorders>
            <w:shd w:val="clear" w:color="auto" w:fill="F9FAFC"/>
            <w:tcMar>
              <w:top w:w="100" w:type="dxa"/>
              <w:left w:w="140" w:type="dxa"/>
              <w:bottom w:w="100" w:type="dxa"/>
              <w:right w:w="140" w:type="dxa"/>
            </w:tcMar>
          </w:tcPr>
          <w:p w14:paraId="44408D74" w14:textId="77777777" w:rsidR="003729F6" w:rsidRDefault="00000000" w:rsidP="002C2F4B">
            <w:pPr>
              <w:spacing w:after="0"/>
              <w:jc w:val="both"/>
            </w:pPr>
            <w:r>
              <w:rPr>
                <w:rFonts w:ascii="Calibri" w:hAnsi="Calibri"/>
                <w:color w:val="333333"/>
                <w:sz w:val="20"/>
              </w:rPr>
              <w:t>-</w:t>
            </w:r>
          </w:p>
        </w:tc>
      </w:tr>
    </w:tbl>
    <w:p w14:paraId="61D78873" w14:textId="77777777" w:rsidR="003729F6" w:rsidRDefault="003729F6" w:rsidP="002C2F4B">
      <w:pPr>
        <w:spacing w:after="120"/>
        <w:jc w:val="both"/>
      </w:pPr>
    </w:p>
    <w:p w14:paraId="249AA149" w14:textId="77777777" w:rsidR="003729F6" w:rsidRDefault="00000000" w:rsidP="002C2F4B">
      <w:pPr>
        <w:spacing w:after="120"/>
        <w:jc w:val="both"/>
      </w:pPr>
      <w:r>
        <w:rPr>
          <w:rFonts w:ascii="Calibri" w:hAnsi="Calibri"/>
          <w:color w:val="333333"/>
        </w:rPr>
        <w:t>Operational Impact: Over 78% of active employees (964 of 1,233) exhibit career growth friction requiring either vertical promotion review (39.98%) or lateral role re-energization (38.20%).</w:t>
      </w:r>
    </w:p>
    <w:p w14:paraId="5B2A2A83" w14:textId="77777777" w:rsidR="003729F6" w:rsidRDefault="00000000" w:rsidP="002C2F4B">
      <w:pPr>
        <w:keepNext/>
        <w:spacing w:before="400" w:after="160"/>
        <w:jc w:val="both"/>
      </w:pPr>
      <w:r>
        <w:rPr>
          <w:rFonts w:ascii="Arial" w:hAnsi="Arial"/>
          <w:b/>
          <w:color w:val="1E2640"/>
          <w:sz w:val="32"/>
        </w:rPr>
        <w:t>6. Executive Decision-Support Dashboard Architecture</w:t>
      </w:r>
    </w:p>
    <w:p w14:paraId="7BADB7E1" w14:textId="77777777" w:rsidR="003729F6" w:rsidRDefault="00000000" w:rsidP="002C2F4B">
      <w:pPr>
        <w:spacing w:after="120"/>
        <w:jc w:val="both"/>
      </w:pPr>
      <w:r>
        <w:rPr>
          <w:rFonts w:ascii="Calibri" w:hAnsi="Calibri"/>
          <w:color w:val="333333"/>
        </w:rPr>
        <w:t>To empower HR business partners, department heads, and C-suite executives with real-time analytics, we deployed an interactive dashboard application written in Python using Streamlit (app.py).</w:t>
      </w:r>
    </w:p>
    <w:p w14:paraId="52744034" w14:textId="77777777" w:rsidR="003729F6" w:rsidRDefault="00000000" w:rsidP="002C2F4B">
      <w:pPr>
        <w:keepNext/>
        <w:spacing w:before="280" w:after="120"/>
        <w:jc w:val="both"/>
      </w:pPr>
      <w:r>
        <w:rPr>
          <w:rFonts w:ascii="Arial" w:hAnsi="Arial"/>
          <w:b/>
          <w:color w:val="C0392B"/>
          <w:sz w:val="26"/>
        </w:rPr>
        <w:t>6.1 Software Architecture &amp; Robustness Features</w:t>
      </w:r>
    </w:p>
    <w:p w14:paraId="50CFE255" w14:textId="77777777" w:rsidR="003729F6" w:rsidRDefault="00000000" w:rsidP="002C2F4B">
      <w:pPr>
        <w:spacing w:after="120"/>
        <w:jc w:val="both"/>
      </w:pPr>
      <w:r>
        <w:rPr>
          <w:rFonts w:ascii="Calibri" w:hAnsi="Calibri"/>
          <w:color w:val="333333"/>
        </w:rPr>
        <w:t>The web application features standard executive styling, custom CSS theme injection, responsive Plotly visualizations, and dynamic data path resolution. Key software engineering components include:</w:t>
      </w:r>
    </w:p>
    <w:p w14:paraId="522AAFBE" w14:textId="77777777" w:rsidR="003729F6" w:rsidRDefault="00000000" w:rsidP="002C2F4B">
      <w:pPr>
        <w:pStyle w:val="ListBullet"/>
        <w:spacing w:after="80"/>
        <w:jc w:val="both"/>
      </w:pPr>
      <w:r>
        <w:rPr>
          <w:rFonts w:ascii="Calibri" w:hAnsi="Calibri"/>
          <w:b/>
          <w:color w:val="1E2640"/>
        </w:rPr>
        <w:t xml:space="preserve">Dynamic Absolute Path Resolution: </w:t>
      </w:r>
      <w:r>
        <w:rPr>
          <w:rFonts w:ascii="Calibri" w:hAnsi="Calibri"/>
          <w:color w:val="333333"/>
        </w:rPr>
        <w:t xml:space="preserve">Resolves dataset locations relative to os.path.dirname(os.path.abspath(__file__)), guaranteeing seamless execution across local development environments, </w:t>
      </w:r>
      <w:r>
        <w:rPr>
          <w:rFonts w:ascii="Calibri" w:hAnsi="Calibri"/>
          <w:color w:val="333333"/>
        </w:rPr>
        <w:lastRenderedPageBreak/>
        <w:t>containerized Docker instances, and Streamlit Cloud.</w:t>
      </w:r>
    </w:p>
    <w:p w14:paraId="4AA4F632" w14:textId="77777777" w:rsidR="003729F6" w:rsidRDefault="00000000" w:rsidP="002C2F4B">
      <w:pPr>
        <w:pStyle w:val="ListBullet"/>
        <w:spacing w:after="80"/>
        <w:jc w:val="both"/>
      </w:pPr>
      <w:r>
        <w:rPr>
          <w:rFonts w:ascii="Calibri" w:hAnsi="Calibri"/>
          <w:b/>
          <w:color w:val="1E2640"/>
        </w:rPr>
        <w:t xml:space="preserve">Schema &amp; Data Type Resilience: </w:t>
      </w:r>
      <w:r>
        <w:rPr>
          <w:rFonts w:ascii="Calibri" w:hAnsi="Calibri"/>
          <w:color w:val="333333"/>
        </w:rPr>
        <w:t>Handles string ('Yes'/'No') and integer (1/0) Attrition variants, dynamically deriving missing metrics (Promotion Gap Ratio, Role Stagnation Index, Training Intensity) on the fly.</w:t>
      </w:r>
    </w:p>
    <w:p w14:paraId="3585C4C4" w14:textId="77777777" w:rsidR="003729F6" w:rsidRDefault="00000000" w:rsidP="002C2F4B">
      <w:pPr>
        <w:pStyle w:val="ListBullet"/>
        <w:spacing w:after="80"/>
        <w:jc w:val="both"/>
      </w:pPr>
      <w:r>
        <w:rPr>
          <w:rFonts w:ascii="Calibri" w:hAnsi="Calibri"/>
          <w:b/>
          <w:color w:val="1E2640"/>
        </w:rPr>
        <w:t xml:space="preserve">Streamlit Multiselect Safeguard: </w:t>
      </w:r>
      <w:r>
        <w:rPr>
          <w:rFonts w:ascii="Calibri" w:hAnsi="Calibri"/>
          <w:color w:val="333333"/>
        </w:rPr>
        <w:t>Dynamically intersects default selection arrays against filtered option lists, eliminating StreamlitAPIException crashes during active UI filtering.</w:t>
      </w:r>
    </w:p>
    <w:p w14:paraId="67DA5C8E" w14:textId="77777777" w:rsidR="003729F6" w:rsidRDefault="00000000" w:rsidP="002C2F4B">
      <w:pPr>
        <w:keepNext/>
        <w:spacing w:before="280" w:after="120"/>
        <w:jc w:val="both"/>
      </w:pPr>
      <w:r>
        <w:rPr>
          <w:rFonts w:ascii="Arial" w:hAnsi="Arial"/>
          <w:b/>
          <w:color w:val="C0392B"/>
          <w:sz w:val="26"/>
        </w:rPr>
        <w:t>6.2 Executive Dashboard Modules</w:t>
      </w:r>
    </w:p>
    <w:p w14:paraId="3F1DAD1F" w14:textId="77777777" w:rsidR="003729F6" w:rsidRDefault="00000000" w:rsidP="002C2F4B">
      <w:pPr>
        <w:pStyle w:val="ListBullet"/>
        <w:spacing w:after="80"/>
        <w:jc w:val="both"/>
      </w:pPr>
      <w:r>
        <w:rPr>
          <w:rFonts w:ascii="Calibri" w:hAnsi="Calibri"/>
          <w:b/>
          <w:color w:val="1E2640"/>
        </w:rPr>
        <w:t xml:space="preserve">Module 1: Career Path Clustering Dashboard: </w:t>
      </w:r>
      <w:r>
        <w:rPr>
          <w:rFonts w:ascii="Calibri" w:hAnsi="Calibri"/>
          <w:color w:val="333333"/>
        </w:rPr>
        <w:t>Visualizes workforce distribution across the 4 K-Means trajectory clusters using interactive donut charts, attrition rate comparison bars, profile summary dataframes, and 2D feature scatter plots.</w:t>
      </w:r>
    </w:p>
    <w:p w14:paraId="70874990" w14:textId="77777777" w:rsidR="003729F6" w:rsidRDefault="00000000" w:rsidP="002C2F4B">
      <w:pPr>
        <w:pStyle w:val="ListBullet"/>
        <w:spacing w:after="80"/>
        <w:jc w:val="both"/>
      </w:pPr>
      <w:r>
        <w:rPr>
          <w:rFonts w:ascii="Calibri" w:hAnsi="Calibri"/>
          <w:b/>
          <w:color w:val="1E2640"/>
        </w:rPr>
        <w:t xml:space="preserve">Module 2: Promotion Gap Monitor: </w:t>
      </w:r>
      <w:r>
        <w:rPr>
          <w:rFonts w:ascii="Calibri" w:hAnsi="Calibri"/>
          <w:color w:val="333333"/>
        </w:rPr>
        <w:t>Renders horizontal bar charts of Promotion Gap Ratios by job role, plots the Promotion Freeze curve (attrition spike vs. years unpromoted), and filters high-gap employees.</w:t>
      </w:r>
    </w:p>
    <w:p w14:paraId="111E0836" w14:textId="77777777" w:rsidR="003729F6" w:rsidRDefault="00000000" w:rsidP="002C2F4B">
      <w:pPr>
        <w:pStyle w:val="ListBullet"/>
        <w:spacing w:after="80"/>
        <w:jc w:val="both"/>
      </w:pPr>
      <w:r>
        <w:rPr>
          <w:rFonts w:ascii="Calibri" w:hAnsi="Calibri"/>
          <w:b/>
          <w:color w:val="1E2640"/>
        </w:rPr>
        <w:t xml:space="preserve">Module 3: Retention Opportunity Panel: </w:t>
      </w:r>
      <w:r>
        <w:rPr>
          <w:rFonts w:ascii="Calibri" w:hAnsi="Calibri"/>
          <w:color w:val="333333"/>
        </w:rPr>
        <w:t>Provides HR business partners with a scatter matrix of active staff, action summary pie charts, and downloadable CSV intervention registers.</w:t>
      </w:r>
    </w:p>
    <w:p w14:paraId="482DAC80" w14:textId="77777777" w:rsidR="003729F6" w:rsidRDefault="00000000" w:rsidP="002C2F4B">
      <w:pPr>
        <w:pStyle w:val="ListBullet"/>
        <w:spacing w:after="80"/>
        <w:jc w:val="both"/>
      </w:pPr>
      <w:r>
        <w:rPr>
          <w:rFonts w:ascii="Calibri" w:hAnsi="Calibri"/>
          <w:b/>
          <w:color w:val="1E2640"/>
        </w:rPr>
        <w:t xml:space="preserve">Module 4: Managerial Insights Dashboard: </w:t>
      </w:r>
      <w:r>
        <w:rPr>
          <w:rFonts w:ascii="Calibri" w:hAnsi="Calibri"/>
          <w:color w:val="333333"/>
        </w:rPr>
        <w:t>Analyzes manager tenure vs. role tenure, evaluates manager stability impact on attrition, and summarizes departmental leadership continuity.</w:t>
      </w:r>
    </w:p>
    <w:p w14:paraId="1B3F7CC6" w14:textId="77777777" w:rsidR="003729F6" w:rsidRDefault="00000000" w:rsidP="002C2F4B">
      <w:pPr>
        <w:keepNext/>
        <w:spacing w:before="400" w:after="160"/>
        <w:jc w:val="both"/>
      </w:pPr>
      <w:r>
        <w:rPr>
          <w:rFonts w:ascii="Arial" w:hAnsi="Arial"/>
          <w:b/>
          <w:color w:val="1E2640"/>
          <w:sz w:val="32"/>
        </w:rPr>
        <w:t>7. Strategic HR Recommendations &amp; Policy Framework</w:t>
      </w:r>
    </w:p>
    <w:p w14:paraId="6DA27C56" w14:textId="77777777" w:rsidR="003729F6" w:rsidRDefault="00000000" w:rsidP="002C2F4B">
      <w:pPr>
        <w:spacing w:after="120"/>
        <w:jc w:val="both"/>
      </w:pPr>
      <w:r>
        <w:rPr>
          <w:rFonts w:ascii="Calibri" w:hAnsi="Calibri"/>
          <w:color w:val="333333"/>
        </w:rPr>
        <w:t>Based on empirical evidence gathered across 1,470 employee records, we propose a four-tiered strategic policy framework for Palo Alto Networks leadership:</w:t>
      </w:r>
    </w:p>
    <w:p w14:paraId="0D88E93B" w14:textId="77777777" w:rsidR="003729F6" w:rsidRDefault="00000000" w:rsidP="002C2F4B">
      <w:pPr>
        <w:keepNext/>
        <w:spacing w:before="280" w:after="120"/>
        <w:jc w:val="both"/>
      </w:pPr>
      <w:r>
        <w:rPr>
          <w:rFonts w:ascii="Arial" w:hAnsi="Arial"/>
          <w:b/>
          <w:color w:val="C0392B"/>
          <w:sz w:val="26"/>
        </w:rPr>
        <w:t>Policy Tier 1: Enforce the 3-Year Promotion Review Mandate</w:t>
      </w:r>
    </w:p>
    <w:p w14:paraId="586824D2" w14:textId="77777777" w:rsidR="003729F6" w:rsidRDefault="00000000" w:rsidP="002C2F4B">
      <w:pPr>
        <w:spacing w:after="120"/>
        <w:jc w:val="both"/>
      </w:pPr>
      <w:r>
        <w:rPr>
          <w:rFonts w:ascii="Calibri" w:hAnsi="Calibri"/>
          <w:color w:val="333333"/>
        </w:rPr>
        <w:t>Data shows that voluntary attrition escalates rapidly after 3 years without a promotion. HR leadership must institute a mandatory calibration review for any employee reaching 36 months without title advancement. If vertical promotion is unviable, compensation adjustments or title leveling must be implemented.</w:t>
      </w:r>
    </w:p>
    <w:p w14:paraId="2E596275" w14:textId="77777777" w:rsidR="003729F6" w:rsidRDefault="00000000" w:rsidP="002C2F4B">
      <w:pPr>
        <w:keepNext/>
        <w:spacing w:before="280" w:after="120"/>
        <w:jc w:val="both"/>
      </w:pPr>
      <w:r>
        <w:rPr>
          <w:rFonts w:ascii="Arial" w:hAnsi="Arial"/>
          <w:b/>
          <w:color w:val="C0392B"/>
          <w:sz w:val="26"/>
        </w:rPr>
        <w:t>Policy Tier 2: Establish Formal Lateral Role Rotation Tracks</w:t>
      </w:r>
    </w:p>
    <w:p w14:paraId="3622F7FF" w14:textId="77777777" w:rsidR="003729F6" w:rsidRDefault="00000000" w:rsidP="002C2F4B">
      <w:pPr>
        <w:spacing w:after="120"/>
        <w:jc w:val="both"/>
      </w:pPr>
      <w:r>
        <w:rPr>
          <w:rFonts w:ascii="Calibri" w:hAnsi="Calibri"/>
          <w:color w:val="333333"/>
        </w:rPr>
        <w:t>With 38.20% of active staff suffering from role stagnation (RSI &gt;= 0.50), Palo Alto Networks should launch an internal talent marketplace allowing frictionless lateral transfers after 24 months in a role without manager veto power.</w:t>
      </w:r>
    </w:p>
    <w:p w14:paraId="7690D523" w14:textId="77777777" w:rsidR="003729F6" w:rsidRDefault="00000000" w:rsidP="002C2F4B">
      <w:pPr>
        <w:keepNext/>
        <w:spacing w:before="280" w:after="120"/>
        <w:jc w:val="both"/>
      </w:pPr>
      <w:r>
        <w:rPr>
          <w:rFonts w:ascii="Arial" w:hAnsi="Arial"/>
          <w:b/>
          <w:color w:val="C0392B"/>
          <w:sz w:val="26"/>
        </w:rPr>
        <w:t>Policy Tier 3: Implement Managerial Transition Buffer Systems</w:t>
      </w:r>
    </w:p>
    <w:p w14:paraId="2D4DA850" w14:textId="77777777" w:rsidR="003729F6" w:rsidRDefault="00000000" w:rsidP="002C2F4B">
      <w:pPr>
        <w:spacing w:after="120"/>
        <w:jc w:val="both"/>
      </w:pPr>
      <w:r>
        <w:rPr>
          <w:rFonts w:ascii="Calibri" w:hAnsi="Calibri"/>
          <w:color w:val="333333"/>
        </w:rPr>
        <w:t>Given that employees under new managers face a 28.32% attrition rate, HR must mandate structured 90-day onboarding buffers and formal mentorship pairing whenever team re-orgs occur.</w:t>
      </w:r>
    </w:p>
    <w:p w14:paraId="173EBDA3" w14:textId="77777777" w:rsidR="003729F6" w:rsidRDefault="00000000" w:rsidP="002C2F4B">
      <w:pPr>
        <w:keepNext/>
        <w:spacing w:before="280" w:after="120"/>
        <w:jc w:val="both"/>
      </w:pPr>
      <w:r>
        <w:rPr>
          <w:rFonts w:ascii="Arial" w:hAnsi="Arial"/>
          <w:b/>
          <w:color w:val="C0392B"/>
          <w:sz w:val="26"/>
        </w:rPr>
        <w:lastRenderedPageBreak/>
        <w:t>Policy Tier 4: Sponsoring Target Upskilling Programs</w:t>
      </w:r>
    </w:p>
    <w:p w14:paraId="5CFDCF02" w14:textId="77777777" w:rsidR="003729F6" w:rsidRDefault="00000000" w:rsidP="002C2F4B">
      <w:pPr>
        <w:spacing w:after="120"/>
        <w:jc w:val="both"/>
      </w:pPr>
      <w:r>
        <w:rPr>
          <w:rFonts w:ascii="Calibri" w:hAnsi="Calibri"/>
          <w:color w:val="333333"/>
        </w:rPr>
        <w:t>Establish guaranteed training allowances for mid-level and senior technical staff whose Training Intensity Score falls below 0.25, re-engaging stagnant contributors through technical certifications.</w:t>
      </w:r>
    </w:p>
    <w:p w14:paraId="0FFB73CB" w14:textId="77777777" w:rsidR="003729F6" w:rsidRDefault="00000000" w:rsidP="002C2F4B">
      <w:pPr>
        <w:keepNext/>
        <w:spacing w:before="400" w:after="160"/>
        <w:jc w:val="both"/>
      </w:pPr>
      <w:r>
        <w:rPr>
          <w:rFonts w:ascii="Arial" w:hAnsi="Arial"/>
          <w:b/>
          <w:color w:val="1E2640"/>
          <w:sz w:val="32"/>
        </w:rPr>
        <w:t>8. Conclusion &amp; Future Research Directions</w:t>
      </w:r>
    </w:p>
    <w:p w14:paraId="3C95F416" w14:textId="77777777" w:rsidR="003729F6" w:rsidRDefault="00000000" w:rsidP="002C2F4B">
      <w:pPr>
        <w:spacing w:after="120"/>
        <w:jc w:val="both"/>
      </w:pPr>
      <w:r>
        <w:rPr>
          <w:rFonts w:ascii="Calibri" w:hAnsi="Calibri"/>
          <w:color w:val="333333"/>
        </w:rPr>
        <w:t>This research paper establishes Career Trajectory Intelligence as a vital paradigm shift in strategic human capital management. By combining unsupervised machine learning (K-Means clustering), domain metric engineering, and an interactive executive intelligence system (app.py), Palo Alto Networks can transition from reactive turnover mitigation to proactive, career-centric workforce optimization.</w:t>
      </w:r>
    </w:p>
    <w:p w14:paraId="5FC1B274" w14:textId="77777777" w:rsidR="003729F6" w:rsidRDefault="00000000" w:rsidP="002C2F4B">
      <w:pPr>
        <w:spacing w:after="120"/>
        <w:jc w:val="both"/>
      </w:pPr>
      <w:r>
        <w:rPr>
          <w:rFonts w:ascii="Calibri" w:hAnsi="Calibri"/>
          <w:color w:val="333333"/>
        </w:rPr>
        <w:t>Future research directions include building predictive survival analysis models (Cox Proportional Hazards) to estimate individual employee time-to-stagnation, integrating real-time sentiment analysis from internal feedback systems, and expanding the framework across global subsidiary locations.</w:t>
      </w:r>
    </w:p>
    <w:p w14:paraId="24E7EA67" w14:textId="77777777" w:rsidR="003729F6" w:rsidRDefault="00000000" w:rsidP="002C2F4B">
      <w:pPr>
        <w:keepNext/>
        <w:spacing w:before="400" w:after="160"/>
        <w:jc w:val="both"/>
      </w:pPr>
      <w:r>
        <w:rPr>
          <w:rFonts w:ascii="Arial" w:hAnsi="Arial"/>
          <w:b/>
          <w:color w:val="1E2640"/>
          <w:sz w:val="32"/>
        </w:rPr>
        <w:t>9. Academic References &amp; Bibliography</w:t>
      </w:r>
    </w:p>
    <w:p w14:paraId="70183839" w14:textId="77777777" w:rsidR="003729F6" w:rsidRDefault="00000000" w:rsidP="002C2F4B">
      <w:pPr>
        <w:pStyle w:val="ListBullet"/>
        <w:spacing w:after="80"/>
        <w:jc w:val="both"/>
      </w:pPr>
      <w:r>
        <w:rPr>
          <w:rFonts w:ascii="Calibri" w:hAnsi="Calibri"/>
          <w:b/>
          <w:color w:val="1E2640"/>
        </w:rPr>
        <w:t xml:space="preserve">1. Adams, J. S. (1965). </w:t>
      </w:r>
      <w:r>
        <w:rPr>
          <w:rFonts w:ascii="Calibri" w:hAnsi="Calibri"/>
          <w:color w:val="333333"/>
        </w:rPr>
        <w:t>Inequity in social exchange. Advances in Experimental Social Psychology, 2, 267-299.</w:t>
      </w:r>
    </w:p>
    <w:p w14:paraId="6C31D57F" w14:textId="77777777" w:rsidR="003729F6" w:rsidRDefault="00000000" w:rsidP="002C2F4B">
      <w:pPr>
        <w:pStyle w:val="ListBullet"/>
        <w:spacing w:after="80"/>
        <w:jc w:val="both"/>
      </w:pPr>
      <w:r>
        <w:rPr>
          <w:rFonts w:ascii="Calibri" w:hAnsi="Calibri"/>
          <w:b/>
          <w:color w:val="1E2640"/>
        </w:rPr>
        <w:t xml:space="preserve">2. Super, D. E. (1957). </w:t>
      </w:r>
      <w:r>
        <w:rPr>
          <w:rFonts w:ascii="Calibri" w:hAnsi="Calibri"/>
          <w:color w:val="333333"/>
        </w:rPr>
        <w:t>The Psychology of Careers. New York: Harper &amp; Row.</w:t>
      </w:r>
    </w:p>
    <w:p w14:paraId="4ED84D77" w14:textId="77777777" w:rsidR="003729F6" w:rsidRDefault="00000000" w:rsidP="002C2F4B">
      <w:pPr>
        <w:pStyle w:val="ListBullet"/>
        <w:spacing w:after="80"/>
        <w:jc w:val="both"/>
      </w:pPr>
      <w:r>
        <w:rPr>
          <w:rFonts w:ascii="Calibri" w:hAnsi="Calibri"/>
          <w:b/>
          <w:color w:val="1E2640"/>
        </w:rPr>
        <w:t xml:space="preserve">3. Graen, G. B., &amp; Uhl-Bien, M. (1995). </w:t>
      </w:r>
      <w:r>
        <w:rPr>
          <w:rFonts w:ascii="Calibri" w:hAnsi="Calibri"/>
          <w:color w:val="333333"/>
        </w:rPr>
        <w:t xml:space="preserve">Relationship-based approach to leadership: Development of leader-member exchange </w:t>
      </w:r>
      <w:r>
        <w:rPr>
          <w:rFonts w:ascii="Calibri" w:hAnsi="Calibri"/>
          <w:color w:val="333333"/>
        </w:rPr>
        <w:t>(LMX) theory. Leadership Quarterly, 6(2), 219-247.</w:t>
      </w:r>
    </w:p>
    <w:p w14:paraId="5B20B076" w14:textId="77777777" w:rsidR="003729F6" w:rsidRDefault="00000000" w:rsidP="002C2F4B">
      <w:pPr>
        <w:pStyle w:val="ListBullet"/>
        <w:spacing w:after="80"/>
        <w:jc w:val="both"/>
      </w:pPr>
      <w:r>
        <w:rPr>
          <w:rFonts w:ascii="Calibri" w:hAnsi="Calibri"/>
          <w:b/>
          <w:color w:val="1E2640"/>
        </w:rPr>
        <w:t xml:space="preserve">4. Mitchell, T. R., et al. (2001). </w:t>
      </w:r>
      <w:r>
        <w:rPr>
          <w:rFonts w:ascii="Calibri" w:hAnsi="Calibri"/>
          <w:color w:val="333333"/>
        </w:rPr>
        <w:t>Why people stay: Using job embeddedness to predict voluntary turnover. Academy of Management Journal, 44(6), 1102-1121.</w:t>
      </w:r>
    </w:p>
    <w:p w14:paraId="101E7DBB" w14:textId="77777777" w:rsidR="003729F6" w:rsidRDefault="00000000" w:rsidP="002C2F4B">
      <w:pPr>
        <w:pStyle w:val="ListBullet"/>
        <w:spacing w:after="80"/>
        <w:jc w:val="both"/>
      </w:pPr>
      <w:r>
        <w:rPr>
          <w:rFonts w:ascii="Calibri" w:hAnsi="Calibri"/>
          <w:b/>
          <w:color w:val="1E2640"/>
        </w:rPr>
        <w:t xml:space="preserve">5. MacQueen, J. (1967). </w:t>
      </w:r>
      <w:r>
        <w:rPr>
          <w:rFonts w:ascii="Calibri" w:hAnsi="Calibri"/>
          <w:color w:val="333333"/>
        </w:rPr>
        <w:t>Some methods for classification and analysis of multivariate observations. Proc. 5th Berkeley Symp. Math. Statist. Prob., 1, 281-297.</w:t>
      </w:r>
    </w:p>
    <w:p w14:paraId="7CCA20C2" w14:textId="77777777" w:rsidR="003729F6" w:rsidRDefault="00000000" w:rsidP="002C2F4B">
      <w:pPr>
        <w:pStyle w:val="ListBullet"/>
        <w:spacing w:after="80"/>
        <w:jc w:val="both"/>
      </w:pPr>
      <w:r>
        <w:rPr>
          <w:rFonts w:ascii="Calibri" w:hAnsi="Calibri"/>
          <w:b/>
          <w:color w:val="1E2640"/>
        </w:rPr>
        <w:t xml:space="preserve">6. Rousseau, D. M. (1995). </w:t>
      </w:r>
      <w:r>
        <w:rPr>
          <w:rFonts w:ascii="Calibri" w:hAnsi="Calibri"/>
          <w:color w:val="333333"/>
        </w:rPr>
        <w:t>Psychological Contracts in Organizations: Understanding Written and Unwritten Agreements. Sage Publications.</w:t>
      </w:r>
    </w:p>
    <w:sectPr w:rsidR="003729F6" w:rsidSect="002C2F4B">
      <w:type w:val="continuous"/>
      <w:pgSz w:w="12240" w:h="15840"/>
      <w:pgMar w:top="1440" w:right="1440" w:bottom="1440" w:left="144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52865177">
    <w:abstractNumId w:val="8"/>
  </w:num>
  <w:num w:numId="2" w16cid:durableId="1981566947">
    <w:abstractNumId w:val="6"/>
  </w:num>
  <w:num w:numId="3" w16cid:durableId="280380685">
    <w:abstractNumId w:val="5"/>
  </w:num>
  <w:num w:numId="4" w16cid:durableId="63915778">
    <w:abstractNumId w:val="4"/>
  </w:num>
  <w:num w:numId="5" w16cid:durableId="1652100828">
    <w:abstractNumId w:val="7"/>
  </w:num>
  <w:num w:numId="6" w16cid:durableId="976178968">
    <w:abstractNumId w:val="3"/>
  </w:num>
  <w:num w:numId="7" w16cid:durableId="907035316">
    <w:abstractNumId w:val="2"/>
  </w:num>
  <w:num w:numId="8" w16cid:durableId="1188985109">
    <w:abstractNumId w:val="1"/>
  </w:num>
  <w:num w:numId="9" w16cid:durableId="7725539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06EB"/>
    <w:rsid w:val="0015074B"/>
    <w:rsid w:val="0029639D"/>
    <w:rsid w:val="002C2F4B"/>
    <w:rsid w:val="00326F90"/>
    <w:rsid w:val="003729F6"/>
    <w:rsid w:val="00653F37"/>
    <w:rsid w:val="00AA1D8D"/>
    <w:rsid w:val="00AB5A4D"/>
    <w:rsid w:val="00B47730"/>
    <w:rsid w:val="00CB0664"/>
    <w:rsid w:val="00E0375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0FE0B44"/>
  <w14:defaultImageDpi w14:val="330"/>
  <w15:docId w15:val="{8CD56011-B448-4659-8FE7-E32FDDD5BF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9</Pages>
  <Words>2623</Words>
  <Characters>17027</Characters>
  <Application>Microsoft Office Word</Application>
  <DocSecurity>0</DocSecurity>
  <Lines>945</Lines>
  <Paragraphs>338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19312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Biswajeet Pradhan</cp:lastModifiedBy>
  <cp:revision>8</cp:revision>
  <dcterms:created xsi:type="dcterms:W3CDTF">2013-12-23T23:15:00Z</dcterms:created>
  <dcterms:modified xsi:type="dcterms:W3CDTF">2026-08-23T05:45:00Z</dcterms:modified>
  <cp:category/>
</cp:coreProperties>
</file>