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jc w:val="center"/>
      </w:pPr>
      <w:r>
        <w:rPr>
          <w:color w:val="555555"/>
          <w:sz w:val="22"/>
          <w:szCs w:val="22"/>
        </w:rPr>
        <w:t xml:space="preserve">Investigación de Operaciones</w:t>
      </w:r>
    </w:p>
    <w:p>
      <w:pPr>
        <w:spacing w:after="700"/>
      </w:pPr>
    </w:p>
    <w:p>
      <w:pPr>
        <w:jc w:val="center"/>
      </w:pPr>
      <w:r>
        <w:rPr>
          <w:b/>
          <w:bCs/>
          <w:color w:val="1F3864"/>
          <w:sz w:val="40"/>
          <w:szCs w:val="40"/>
        </w:rPr>
        <w:t xml:space="preserve">OPTIMIZACIÓN DEL TRANSPORTE DE PRODUCTOS</w:t>
      </w:r>
    </w:p>
    <w:p>
      <w:pPr>
        <w:spacing w:before="160"/>
        <w:jc w:val="center"/>
      </w:pPr>
      <w:r>
        <w:rPr>
          <w:i/>
          <w:iCs/>
          <w:sz w:val="22"/>
          <w:szCs w:val="22"/>
        </w:rPr>
        <w:t xml:space="preserve">Formulación, resolución y análisis de sensibilidad de un modelo de programación lineal de transporte para una empresa de distribución de alimentos</w:t>
      </w:r>
    </w:p>
    <w:p>
      <w:pPr>
        <w:spacing w:after="1000"/>
      </w:pPr>
    </w:p>
    <w:p>
      <w:pPr>
        <w:jc w:val="center"/>
      </w:pPr>
      <w:r>
        <w:rPr>
          <w:sz w:val="22"/>
          <w:szCs w:val="22"/>
        </w:rPr>
        <w:t xml:space="preserve">Presenta:</w:t>
      </w:r>
    </w:p>
    <w:p>
      <w:pPr>
        <w:spacing w:before="60"/>
        <w:jc w:val="center"/>
      </w:pPr>
      <w:r>
        <w:rPr>
          <w:b/>
          <w:bCs/>
          <w:color w:val="1F3864"/>
          <w:sz w:val="28"/>
          <w:szCs w:val="28"/>
        </w:rPr>
        <w:t xml:space="preserve">Bryan Mercado</w:t>
      </w:r>
    </w:p>
    <w:p>
      <w:pPr>
        <w:spacing w:after="900"/>
      </w:pPr>
    </w:p>
    <w:p>
      <w:pPr>
        <w:jc w:val="center"/>
      </w:pPr>
      <w:r>
        <w:rPr>
          <w:sz w:val="20"/>
          <w:szCs w:val="20"/>
        </w:rPr>
        <w:t xml:space="preserve">Trabajo: Optimización del Transporte de Productos</w:t>
      </w:r>
    </w:p>
    <w:p>
      <w:pPr>
        <w:jc w:val="center"/>
      </w:pPr>
      <w:r>
        <w:rPr>
          <w:sz w:val="20"/>
          <w:szCs w:val="20"/>
        </w:rPr>
        <w:t xml:space="preserve">Metodología: Individual</w:t>
      </w:r>
    </w:p>
    <w:p>
      <w:pPr>
        <w:jc w:val="center"/>
      </w:pPr>
      <w:r>
        <w:rPr>
          <w:sz w:val="20"/>
          <w:szCs w:val="20"/>
        </w:rPr>
        <w:t xml:space="preserve">Fecha de entrega: domingo, 2 de agosto de 2026</w:t>
      </w:r>
    </w:p>
    <w:p>
      <w:pPr>
        <w:spacing w:after="700"/>
      </w:pPr>
    </w:p>
    <w:p>
      <w:pPr>
        <w:jc w:val="center"/>
      </w:pPr>
      <w:r>
        <w:rPr>
          <w:color w:val="555555"/>
          <w:sz w:val="18"/>
          <w:szCs w:val="18"/>
        </w:rPr>
        <w:t xml:space="preserve">Biblioteca Virtual — Kohateca: https://kohateca.ula.edu.mx/</w:t>
      </w:r>
    </w:p>
    <w:p>
      <w:r>
        <w:br w:type="page"/>
      </w:r>
    </w:p>
    <w:p>
      <w:pPr>
        <w:pStyle w:val="Heading1"/>
        <w:pBdr>
          <w:bottom w:val="single" w:color="1F3864" w:sz="8" w:space="4"/>
        </w:pBdr>
        <w:spacing w:after="200" w:before="360"/>
      </w:pPr>
      <w:r>
        <w:rPr>
          <w:b/>
          <w:bCs/>
          <w:color w:val="1F3864"/>
          <w:sz w:val="28"/>
          <w:szCs w:val="28"/>
        </w:rPr>
        <w:t xml:space="preserve">Índice</w:t>
      </w:r>
    </w:p>
    <w:p>
      <w:pPr>
        <w:spacing w:after="100"/>
      </w:pPr>
      <w:r>
        <w:rPr>
          <w:sz w:val="22"/>
          <w:szCs w:val="22"/>
        </w:rPr>
        <w:t xml:space="preserve">1. Introducción y justificación de la actividad</w:t>
      </w:r>
    </w:p>
    <w:p>
      <w:pPr>
        <w:spacing w:after="100"/>
      </w:pPr>
      <w:r>
        <w:rPr>
          <w:sz w:val="22"/>
          <w:szCs w:val="22"/>
        </w:rPr>
        <w:t xml:space="preserve">2. Planteamiento del problema</w:t>
      </w:r>
    </w:p>
    <w:p>
      <w:pPr>
        <w:spacing w:after="100"/>
      </w:pPr>
      <w:r>
        <w:rPr>
          <w:sz w:val="22"/>
          <w:szCs w:val="22"/>
        </w:rPr>
        <w:t xml:space="preserve">     2.1 Contexto y datos del caso</w:t>
      </w:r>
    </w:p>
    <w:p>
      <w:pPr>
        <w:spacing w:after="100"/>
      </w:pPr>
      <w:r>
        <w:rPr>
          <w:sz w:val="22"/>
          <w:szCs w:val="22"/>
        </w:rPr>
        <w:t xml:space="preserve">     2.2 Tipo de problema y supuestos</w:t>
      </w:r>
    </w:p>
    <w:p>
      <w:pPr>
        <w:spacing w:after="100"/>
      </w:pPr>
      <w:r>
        <w:rPr>
          <w:sz w:val="22"/>
          <w:szCs w:val="22"/>
        </w:rPr>
        <w:t xml:space="preserve">3. Modelo matemático de programación lineal</w:t>
      </w:r>
    </w:p>
    <w:p>
      <w:pPr>
        <w:spacing w:after="100"/>
      </w:pPr>
      <w:r>
        <w:rPr>
          <w:sz w:val="22"/>
          <w:szCs w:val="22"/>
        </w:rPr>
        <w:t xml:space="preserve">     3.1 Variables de decisión</w:t>
      </w:r>
    </w:p>
    <w:p>
      <w:pPr>
        <w:spacing w:after="100"/>
      </w:pPr>
      <w:r>
        <w:rPr>
          <w:sz w:val="22"/>
          <w:szCs w:val="22"/>
        </w:rPr>
        <w:t xml:space="preserve">     3.2 Función objetivo</w:t>
      </w:r>
    </w:p>
    <w:p>
      <w:pPr>
        <w:spacing w:after="100"/>
      </w:pPr>
      <w:r>
        <w:rPr>
          <w:sz w:val="22"/>
          <w:szCs w:val="22"/>
        </w:rPr>
        <w:t xml:space="preserve">     3.3 Restricciones</w:t>
      </w:r>
    </w:p>
    <w:p>
      <w:pPr>
        <w:spacing w:after="100"/>
      </w:pPr>
      <w:r>
        <w:rPr>
          <w:sz w:val="22"/>
          <w:szCs w:val="22"/>
        </w:rPr>
        <w:t xml:space="preserve">     3.4 Modelo completo</w:t>
      </w:r>
    </w:p>
    <w:p>
      <w:pPr>
        <w:spacing w:after="100"/>
      </w:pPr>
      <w:r>
        <w:rPr>
          <w:sz w:val="22"/>
          <w:szCs w:val="22"/>
        </w:rPr>
        <w:t xml:space="preserve">4. Resolución del modelo</w:t>
      </w:r>
    </w:p>
    <w:p>
      <w:pPr>
        <w:spacing w:after="100"/>
      </w:pPr>
      <w:r>
        <w:rPr>
          <w:sz w:val="22"/>
          <w:szCs w:val="22"/>
        </w:rPr>
        <w:t xml:space="preserve">     4.1 Verificación del balance oferta-demanda</w:t>
      </w:r>
    </w:p>
    <w:p>
      <w:pPr>
        <w:spacing w:after="100"/>
      </w:pPr>
      <w:r>
        <w:rPr>
          <w:sz w:val="22"/>
          <w:szCs w:val="22"/>
        </w:rPr>
        <w:t xml:space="preserve">     4.2 Solución factible inicial: método de la esquina noroeste</w:t>
      </w:r>
    </w:p>
    <w:p>
      <w:pPr>
        <w:spacing w:after="100"/>
      </w:pPr>
      <w:r>
        <w:rPr>
          <w:sz w:val="22"/>
          <w:szCs w:val="22"/>
        </w:rPr>
        <w:t xml:space="preserve">     4.3 Prueba de optimalidad: método MODI (multiplicadores u, v)</w:t>
      </w:r>
    </w:p>
    <w:p>
      <w:pPr>
        <w:spacing w:after="100"/>
      </w:pPr>
      <w:r>
        <w:rPr>
          <w:sz w:val="22"/>
          <w:szCs w:val="22"/>
        </w:rPr>
        <w:t xml:space="preserve">     4.4 Solución óptima y existencia de soluciones alternas</w:t>
      </w:r>
    </w:p>
    <w:p>
      <w:pPr>
        <w:spacing w:after="100"/>
      </w:pPr>
      <w:r>
        <w:rPr>
          <w:sz w:val="22"/>
          <w:szCs w:val="22"/>
        </w:rPr>
        <w:t xml:space="preserve">     4.5 Resolución con software especializado: Excel Solver, LibreOffice Calc Solver y LINDO</w:t>
      </w:r>
    </w:p>
    <w:p>
      <w:pPr>
        <w:spacing w:after="100"/>
      </w:pPr>
      <w:r>
        <w:rPr>
          <w:sz w:val="22"/>
          <w:szCs w:val="22"/>
        </w:rPr>
        <w:t xml:space="preserve">     4.6 Verificación cruzada con al menos cinco vías independientes</w:t>
      </w:r>
    </w:p>
    <w:p>
      <w:pPr>
        <w:spacing w:after="100"/>
      </w:pPr>
      <w:r>
        <w:rPr>
          <w:sz w:val="22"/>
          <w:szCs w:val="22"/>
        </w:rPr>
        <w:t xml:space="preserve">5. Análisis de resultados</w:t>
      </w:r>
    </w:p>
    <w:p>
      <w:pPr>
        <w:spacing w:after="100"/>
      </w:pPr>
      <w:r>
        <w:rPr>
          <w:sz w:val="22"/>
          <w:szCs w:val="22"/>
        </w:rPr>
        <w:t xml:space="preserve">6. Análisis de sensibilidad y escenarios</w:t>
      </w:r>
    </w:p>
    <w:p>
      <w:pPr>
        <w:spacing w:after="100"/>
      </w:pPr>
      <w:r>
        <w:rPr>
          <w:sz w:val="22"/>
          <w:szCs w:val="22"/>
        </w:rPr>
        <w:t xml:space="preserve">     6.1 Escenario A: incremento de la demanda en el punto de venta 3</w:t>
      </w:r>
    </w:p>
    <w:p>
      <w:pPr>
        <w:spacing w:after="100"/>
      </w:pPr>
      <w:r>
        <w:rPr>
          <w:sz w:val="22"/>
          <w:szCs w:val="22"/>
        </w:rPr>
        <w:t xml:space="preserve">     6.2 Escenario B: traslado de disponibilidad del centro C al centro B</w:t>
      </w:r>
    </w:p>
    <w:p>
      <w:pPr>
        <w:spacing w:after="100"/>
      </w:pPr>
      <w:r>
        <w:rPr>
          <w:sz w:val="22"/>
          <w:szCs w:val="22"/>
        </w:rPr>
        <w:t xml:space="preserve">     6.3 Escenario C: apertura de un nuevo centro de distribución (costo-beneficio)</w:t>
      </w:r>
    </w:p>
    <w:p>
      <w:pPr>
        <w:spacing w:after="100"/>
      </w:pPr>
      <w:r>
        <w:rPr>
          <w:sz w:val="22"/>
          <w:szCs w:val="22"/>
        </w:rPr>
        <w:t xml:space="preserve">7. Presentación de resultados</w:t>
      </w:r>
    </w:p>
    <w:p>
      <w:pPr>
        <w:spacing w:after="100"/>
      </w:pPr>
      <w:r>
        <w:rPr>
          <w:sz w:val="22"/>
          <w:szCs w:val="22"/>
        </w:rPr>
        <w:t xml:space="preserve">8. Conclusiones y recomendaciones</w:t>
      </w:r>
    </w:p>
    <w:p>
      <w:pPr>
        <w:spacing w:after="100"/>
      </w:pPr>
      <w:r>
        <w:rPr>
          <w:sz w:val="22"/>
          <w:szCs w:val="22"/>
        </w:rPr>
        <w:t xml:space="preserve">9. Referencias</w:t>
      </w:r>
    </w:p>
    <w:p>
      <w:r>
        <w:br w:type="page"/>
      </w:r>
    </w:p>
    <w:p>
      <w:pPr>
        <w:pStyle w:val="Heading1"/>
        <w:pBdr>
          <w:bottom w:val="single" w:color="1F3864" w:sz="8" w:space="4"/>
        </w:pBdr>
        <w:spacing w:after="200" w:before="360"/>
      </w:pPr>
      <w:r>
        <w:rPr>
          <w:b/>
          <w:bCs/>
          <w:color w:val="1F3864"/>
          <w:sz w:val="28"/>
          <w:szCs w:val="28"/>
        </w:rPr>
        <w:t xml:space="preserve">1. Introducción y justificación de la actividad</w:t>
      </w:r>
    </w:p>
    <w:p>
      <w:pPr>
        <w:spacing w:after="160" w:line="276"/>
        <w:jc w:val="both"/>
      </w:pPr>
      <w:r>
        <w:rPr>
          <w:sz w:val="22"/>
          <w:szCs w:val="22"/>
        </w:rPr>
        <w:t xml:space="preserve">El presente trabajo desarrolla la resolución de un problema clásico de investigación de operaciones: el problema de transporte, aplicado al caso de una empresa de distribución de alimentos que opera tres centros de distribución (A, B y C) y abastece a cinco puntos de venta (1, 2, 3, 4 y 5). El propósito es determinar el plan de envíos que minimiza el costo total de transporte, satisfaciendo íntegramente la demanda de cada punto de venta sin exceder la disponibilidad de cada centro de distribución.</w:t>
      </w:r>
    </w:p>
    <w:p>
      <w:pPr>
        <w:spacing w:after="160" w:line="276"/>
        <w:jc w:val="both"/>
      </w:pPr>
      <w:r>
        <w:rPr>
          <w:sz w:val="22"/>
          <w:szCs w:val="22"/>
        </w:rPr>
        <w:t xml:space="preserve">Esta actividad no se limita a un ejercicio de cálculo: reproduce una decisión logística real que cualquier empresa de distribución enfrenta de manera recurrente. La optimización del transporte incide directamente sobre los costos operativos, el margen de contribución del negocio y la capacidad de servicio al cliente. Modelar el problema como un programa lineal permite pasar de decisiones basadas en la costumbre o la intuición a decisiones sustentadas en un método cuantitativo, verificable, replicable y susceptible de análisis de sensibilidad ante cambios en el entorno (variaciones de demanda, disrupciones de oferta, apertura de nuevas instalaciones, etc.).</w:t>
      </w:r>
    </w:p>
    <w:p>
      <w:pPr>
        <w:spacing w:after="160" w:line="276"/>
        <w:jc w:val="both"/>
      </w:pPr>
      <w:r>
        <w:rPr>
          <w:sz w:val="22"/>
          <w:szCs w:val="22"/>
        </w:rPr>
        <w:t xml:space="preserve">El desarrollo del trabajo sigue la secuencia solicitada en la guía de la actividad: planteamiento del problema, construcción del modelo matemático (variables de decisión, función objetivo y restricciones), resolución mediante los métodos propios del problema de transporte —método de la esquina noroeste para obtener una solución factible inicial y método MODI (multiplicadores u, v) para comprobar su optimalidad—, resolución y verificación del mismo modelo con software especializado de programación lineal (Excel Solver, LibreOffice Calc Solver y una formulación equivalente para LINDO), análisis de los resultados obtenidos —incluyendo la interpretación económica de los precios sombra—, análisis de sensibilidad ante variaciones de oferta y demanda, y finalmente las conclusiones y recomendaciones para la empresa.</w:t>
      </w:r>
    </w:p>
    <w:p>
      <w:pPr>
        <w:spacing w:after="160" w:line="276"/>
        <w:jc w:val="both"/>
      </w:pPr>
      <w:r>
        <w:rPr>
          <w:sz w:val="22"/>
          <w:szCs w:val="22"/>
        </w:rPr>
        <w:t xml:space="preserve">A diferencia de un ejercicio puramente manual, este trabajo combina de manera deliberada tres vías de resolución independientes —cálculo a mano, hoja de cálculo con Solver y formulación en LINDO— precisamente para que el lector pueda contrastar los resultados y comprobar, por sí mismo, que el método elegido no afecta el costo mínimo obtenido. Esta triangulación metodológica es, además, una buena práctica profesional: en un entorno real de toma de decisiones logísticas, ningún analista se conformaría con un solo cálculo sin una verificación independiente antes de comprometer recursos de la empresa.</w:t>
      </w:r>
    </w:p>
    <w:p>
      <w:pPr>
        <w:spacing w:after="160" w:line="276"/>
        <w:jc w:val="both"/>
      </w:pPr>
      <w:r>
        <w:rPr>
          <w:sz w:val="22"/>
          <w:szCs w:val="22"/>
        </w:rPr>
        <w:t xml:space="preserve">El conocimiento que se aborda es tanto cognitivo —comprender la teoría de los modelos de transporte dentro de la programación lineal— como procedimental —formular, resolver e interpretar el modelo con apoyo de herramientas de cálculo—, en concordancia con los temas 1 al 7 de la asignatura y con las lecturas recomendadas en la Biblioteca Virtual de la universidad.</w:t>
      </w:r>
    </w:p>
    <w:p>
      <w:pPr>
        <w:spacing w:after="160" w:line="276"/>
        <w:jc w:val="both"/>
      </w:pPr>
      <w:r>
        <w:rPr>
          <w:sz w:val="22"/>
          <w:szCs w:val="22"/>
        </w:rPr>
        <w:t xml:space="preserve">Voy a tratar de explicarlo con mis propias palabras a medida que avanzo, o al menos como yo lo entendí al resolverlo, porque la teoría a veces se lee más enredada en el libro de lo que en realidad es una vez que uno se sienta a hacer las cuentas.</w:t>
      </w:r>
    </w:p>
    <w:p>
      <w:pPr>
        <w:pBdr>
          <w:top w:val="single" w:color="BFBFBF" w:sz="4" w:space="4"/>
        </w:pBdr>
        <w:spacing w:after="60" w:before="200"/>
      </w:pPr>
      <w:r>
        <w:rPr>
          <w:b/>
          <w:bCs/>
          <w:i/>
          <w:iCs/>
          <w:color w:val="555555"/>
          <w:sz w:val="18"/>
          <w:szCs w:val="18"/>
        </w:rPr>
        <w:t xml:space="preserve">Fuente(s) de esta sección (formato APA):</w:t>
      </w:r>
    </w:p>
    <w:p>
      <w:pPr>
        <w:spacing w:after="60"/>
        <w:ind w:left="460" w:hanging="260"/>
      </w:pPr>
      <w:r>
        <w:rPr>
          <w:color w:val="555555"/>
          <w:sz w:val="18"/>
          <w:szCs w:val="18"/>
        </w:rPr>
        <w:t xml:space="preserve">• </w:t>
      </w:r>
      <w:r>
        <w:rPr>
          <w:i w:val="false"/>
          <w:iCs w:val="false"/>
          <w:color w:val="555555"/>
          <w:sz w:val="18"/>
          <w:szCs w:val="18"/>
        </w:rPr>
        <w:t xml:space="preserve">Hillier, F. S., &amp; Lieberman, G. J. (2015). </w:t>
      </w:r>
      <w:r>
        <w:rPr>
          <w:i/>
          <w:iCs/>
          <w:color w:val="555555"/>
          <w:sz w:val="18"/>
          <w:szCs w:val="18"/>
        </w:rPr>
        <w:t xml:space="preserve">Introduction to operations research</w:t>
      </w:r>
      <w:r>
        <w:rPr>
          <w:i w:val="false"/>
          <w:iCs w:val="false"/>
          <w:color w:val="555555"/>
          <w:sz w:val="18"/>
          <w:szCs w:val="18"/>
        </w:rPr>
        <w:t xml:space="preserve"> (10.ª ed.). McGraw-Hill Education.</w:t>
      </w:r>
    </w:p>
    <w:p>
      <w:pPr>
        <w:spacing w:after="60"/>
        <w:ind w:left="460" w:hanging="260"/>
      </w:pPr>
      <w:r>
        <w:rPr>
          <w:color w:val="555555"/>
          <w:sz w:val="18"/>
          <w:szCs w:val="18"/>
        </w:rPr>
        <w:t xml:space="preserve">• </w:t>
      </w:r>
      <w:r>
        <w:rPr>
          <w:i w:val="false"/>
          <w:iCs w:val="false"/>
          <w:color w:val="555555"/>
          <w:sz w:val="18"/>
          <w:szCs w:val="18"/>
        </w:rPr>
        <w:t xml:space="preserve">Taha, H. A. (2017). </w:t>
      </w:r>
      <w:r>
        <w:rPr>
          <w:i/>
          <w:iCs/>
          <w:color w:val="555555"/>
          <w:sz w:val="18"/>
          <w:szCs w:val="18"/>
        </w:rPr>
        <w:t xml:space="preserve">Operations research: An introduction</w:t>
      </w:r>
      <w:r>
        <w:rPr>
          <w:i w:val="false"/>
          <w:iCs w:val="false"/>
          <w:color w:val="555555"/>
          <w:sz w:val="18"/>
          <w:szCs w:val="18"/>
        </w:rPr>
        <w:t xml:space="preserve"> (10.ª ed.). Pearson.</w:t>
      </w:r>
    </w:p>
    <w:p>
      <w:pPr>
        <w:spacing w:after="0"/>
        <w:ind w:left="460" w:hanging="260"/>
      </w:pPr>
      <w:r>
        <w:rPr>
          <w:color w:val="555555"/>
          <w:sz w:val="18"/>
          <w:szCs w:val="18"/>
        </w:rPr>
        <w:t xml:space="preserve">• </w:t>
      </w:r>
      <w:r>
        <w:rPr>
          <w:i w:val="false"/>
          <w:iCs w:val="false"/>
          <w:color w:val="555555"/>
          <w:sz w:val="18"/>
          <w:szCs w:val="18"/>
        </w:rPr>
        <w:t xml:space="preserve">Kohateca. (s.f.). </w:t>
      </w:r>
      <w:r>
        <w:rPr>
          <w:i/>
          <w:iCs/>
          <w:color w:val="555555"/>
          <w:sz w:val="18"/>
          <w:szCs w:val="18"/>
        </w:rPr>
        <w:t xml:space="preserve">Biblioteca virtual</w:t>
      </w:r>
      <w:r>
        <w:rPr>
          <w:i w:val="false"/>
          <w:iCs w:val="false"/>
          <w:color w:val="555555"/>
          <w:sz w:val="18"/>
          <w:szCs w:val="18"/>
        </w:rPr>
        <w:t xml:space="preserve">. Recuperado el 31 de julio de 2026, de https://kohateca.ula.edu.mx/</w:t>
      </w:r>
    </w:p>
    <w:p>
      <w:pPr>
        <w:pStyle w:val="Heading1"/>
        <w:pBdr>
          <w:bottom w:val="single" w:color="1F3864" w:sz="8" w:space="4"/>
        </w:pBdr>
        <w:spacing w:after="200" w:before="360"/>
      </w:pPr>
      <w:r>
        <w:rPr>
          <w:b/>
          <w:bCs/>
          <w:color w:val="1F3864"/>
          <w:sz w:val="28"/>
          <w:szCs w:val="28"/>
        </w:rPr>
        <w:t xml:space="preserve">2. Planteamiento del problema</w:t>
      </w:r>
    </w:p>
    <w:p>
      <w:pPr>
        <w:pStyle w:val="Heading2"/>
        <w:spacing w:after="140" w:before="280"/>
      </w:pPr>
      <w:r>
        <w:rPr>
          <w:b/>
          <w:bCs/>
          <w:color w:val="1F3864"/>
          <w:sz w:val="24"/>
          <w:szCs w:val="24"/>
        </w:rPr>
        <w:t xml:space="preserve">2.1 Contexto y datos del caso</w:t>
      </w:r>
    </w:p>
    <w:p>
      <w:pPr>
        <w:spacing w:after="160" w:line="276"/>
        <w:jc w:val="both"/>
      </w:pPr>
      <w:r>
        <w:rPr>
          <w:sz w:val="22"/>
          <w:szCs w:val="22"/>
        </w:rPr>
        <w:t xml:space="preserve">Una empresa de distribución de alimentos cuenta con tres centros de distribución (A, B y C), cada uno con un inventario disponible de producto, y debe abastecer a cinco puntos de venta (1, 2, 3, 4 y 5), cada uno con una demanda específica. Se conoce el costo de transporte por unidad entre cada centro y cada punto de venta (tabla de costos). La empresa busca el plan de distribución que minimice el costo total de transporte.</w:t>
      </w:r>
    </w:p>
    <w:p>
      <w:pPr>
        <w:pStyle w:val="Heading3"/>
        <w:spacing w:after="100" w:before="200"/>
      </w:pPr>
      <w:r>
        <w:rPr>
          <w:b/>
          <w:bCs/>
          <w:i/>
          <w:iCs/>
          <w:sz w:val="22"/>
          <w:szCs w:val="22"/>
        </w:rPr>
        <w:t xml:space="preserve">Disponibilidad en los centros de distribución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cantSplit/>
          <w:tblHeader/>
        </w:trPr>
        <w:tc>
          <w:tcPr>
            <w:tcW w:type="dxa" w:w="5400"/>
            <w:shd w:fill="1F3864" w:color="auto" w:val="clear"/>
            <w:tcMar>
              <w:top w:type="dxa" w:w="80"/>
              <w:left w:type="dxa" w:w="100"/>
              <w:bottom w:type="dxa" w:w="80"/>
              <w:right w:type="dxa" w:w="100"/>
            </w:tcMar>
            <w:vAlign w:val="center"/>
          </w:tcPr>
          <w:p>
            <w:pPr>
              <w:jc w:val="center"/>
            </w:pPr>
            <w:r>
              <w:rPr>
                <w:b/>
                <w:bCs/>
                <w:color w:val="FFFFFF"/>
                <w:sz w:val="20"/>
                <w:szCs w:val="20"/>
              </w:rPr>
              <w:t xml:space="preserve">Centro de distribución</w:t>
            </w:r>
          </w:p>
        </w:tc>
        <w:tc>
          <w:tcPr>
            <w:tcW w:type="dxa" w:w="3960"/>
            <w:shd w:fill="1F3864" w:color="auto" w:val="clear"/>
            <w:tcMar>
              <w:top w:type="dxa" w:w="80"/>
              <w:left w:type="dxa" w:w="100"/>
              <w:bottom w:type="dxa" w:w="80"/>
              <w:right w:type="dxa" w:w="100"/>
            </w:tcMar>
            <w:vAlign w:val="center"/>
          </w:tcPr>
          <w:p>
            <w:pPr>
              <w:jc w:val="center"/>
            </w:pPr>
            <w:r>
              <w:rPr>
                <w:b/>
                <w:bCs/>
                <w:color w:val="FFFFFF"/>
                <w:sz w:val="20"/>
                <w:szCs w:val="20"/>
              </w:rPr>
              <w:t xml:space="preserve">Disponibilidad (unidades)</w:t>
            </w:r>
          </w:p>
        </w:tc>
      </w:tr>
      <w:tr>
        <w:trPr>
          <w:cantSplit/>
        </w:trPr>
        <w:tc>
          <w:tcPr>
            <w:tcW w:type="dxa" w:w="540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A</w:t>
            </w:r>
          </w:p>
        </w:tc>
        <w:tc>
          <w:tcPr>
            <w:tcW w:type="dxa" w:w="396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100</w:t>
            </w:r>
          </w:p>
        </w:tc>
      </w:tr>
      <w:tr>
        <w:trPr>
          <w:cantSplit/>
        </w:trPr>
        <w:tc>
          <w:tcPr>
            <w:tcW w:type="dxa" w:w="5400"/>
            <w:shd w:fill="F2F2F2" w:color="auto" w:val="clear"/>
            <w:tcMar>
              <w:top w:type="dxa" w:w="80"/>
              <w:left w:type="dxa" w:w="100"/>
              <w:bottom w:type="dxa" w:w="80"/>
              <w:right w:type="dxa" w:w="100"/>
            </w:tcMar>
            <w:vAlign w:val="center"/>
          </w:tcPr>
          <w:p>
            <w:pPr>
              <w:jc w:val="center"/>
            </w:pPr>
            <w:r>
              <w:rPr>
                <w:b w:val="false"/>
                <w:bCs w:val="false"/>
                <w:color w:val="000000"/>
                <w:sz w:val="20"/>
                <w:szCs w:val="20"/>
              </w:rPr>
              <w:t xml:space="preserve">B</w:t>
            </w:r>
          </w:p>
        </w:tc>
        <w:tc>
          <w:tcPr>
            <w:tcW w:type="dxa" w:w="3960"/>
            <w:shd w:fill="F2F2F2" w:color="auto" w:val="clear"/>
            <w:tcMar>
              <w:top w:type="dxa" w:w="80"/>
              <w:left w:type="dxa" w:w="100"/>
              <w:bottom w:type="dxa" w:w="80"/>
              <w:right w:type="dxa" w:w="100"/>
            </w:tcMar>
            <w:vAlign w:val="center"/>
          </w:tcPr>
          <w:p>
            <w:pPr>
              <w:jc w:val="center"/>
            </w:pPr>
            <w:r>
              <w:rPr>
                <w:b w:val="false"/>
                <w:bCs w:val="false"/>
                <w:color w:val="000000"/>
                <w:sz w:val="20"/>
                <w:szCs w:val="20"/>
              </w:rPr>
              <w:t xml:space="preserve">150</w:t>
            </w:r>
          </w:p>
        </w:tc>
      </w:tr>
      <w:tr>
        <w:trPr>
          <w:cantSplit/>
        </w:trPr>
        <w:tc>
          <w:tcPr>
            <w:tcW w:type="dxa" w:w="540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C</w:t>
            </w:r>
          </w:p>
        </w:tc>
        <w:tc>
          <w:tcPr>
            <w:tcW w:type="dxa" w:w="396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200</w:t>
            </w:r>
          </w:p>
        </w:tc>
      </w:tr>
      <w:tr>
        <w:trPr>
          <w:cantSplit/>
        </w:trPr>
        <w:tc>
          <w:tcPr>
            <w:tcW w:type="dxa" w:w="5400"/>
            <w:shd w:fill="F2F2F2" w:color="auto" w:val="clear"/>
            <w:tcMar>
              <w:top w:type="dxa" w:w="80"/>
              <w:left w:type="dxa" w:w="100"/>
              <w:bottom w:type="dxa" w:w="80"/>
              <w:right w:type="dxa" w:w="100"/>
            </w:tcMar>
            <w:vAlign w:val="center"/>
          </w:tcPr>
          <w:p>
            <w:pPr>
              <w:jc w:val="center"/>
            </w:pPr>
            <w:r>
              <w:rPr>
                <w:b w:val="false"/>
                <w:bCs w:val="false"/>
                <w:color w:val="000000"/>
                <w:sz w:val="20"/>
                <w:szCs w:val="20"/>
              </w:rPr>
              <w:t xml:space="preserve">Total ofertado</w:t>
            </w:r>
          </w:p>
        </w:tc>
        <w:tc>
          <w:tcPr>
            <w:tcW w:type="dxa" w:w="3960"/>
            <w:shd w:fill="F2F2F2" w:color="auto" w:val="clear"/>
            <w:tcMar>
              <w:top w:type="dxa" w:w="80"/>
              <w:left w:type="dxa" w:w="100"/>
              <w:bottom w:type="dxa" w:w="80"/>
              <w:right w:type="dxa" w:w="100"/>
            </w:tcMar>
            <w:vAlign w:val="center"/>
          </w:tcPr>
          <w:p>
            <w:pPr>
              <w:jc w:val="center"/>
            </w:pPr>
            <w:r>
              <w:rPr>
                <w:b w:val="false"/>
                <w:bCs w:val="false"/>
                <w:color w:val="000000"/>
                <w:sz w:val="20"/>
                <w:szCs w:val="20"/>
              </w:rPr>
              <w:t xml:space="preserve">450</w:t>
            </w:r>
          </w:p>
        </w:tc>
      </w:tr>
    </w:tbl>
    <w:p>
      <w:pPr>
        <w:spacing w:after="240" w:before="60"/>
        <w:jc w:val="center"/>
      </w:pPr>
      <w:r>
        <w:rPr>
          <w:i/>
          <w:iCs/>
          <w:color w:val="555555"/>
          <w:sz w:val="18"/>
          <w:szCs w:val="18"/>
        </w:rPr>
        <w:t xml:space="preserve">Tabla 1. Disponibilidad de producto por centro de distribución.</w:t>
      </w:r>
    </w:p>
    <w:p>
      <w:pPr>
        <w:pStyle w:val="Heading3"/>
        <w:spacing w:after="100" w:before="200"/>
      </w:pPr>
      <w:r>
        <w:rPr>
          <w:b/>
          <w:bCs/>
          <w:i/>
          <w:iCs/>
          <w:sz w:val="22"/>
          <w:szCs w:val="22"/>
        </w:rPr>
        <w:t xml:space="preserve">Demanda de los puntos de venta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cantSplit/>
          <w:tblHeader/>
        </w:trPr>
        <w:tc>
          <w:tcPr>
            <w:tcW w:type="dxa" w:w="5400"/>
            <w:shd w:fill="1F3864" w:color="auto" w:val="clear"/>
            <w:tcMar>
              <w:top w:type="dxa" w:w="80"/>
              <w:left w:type="dxa" w:w="100"/>
              <w:bottom w:type="dxa" w:w="80"/>
              <w:right w:type="dxa" w:w="100"/>
            </w:tcMar>
            <w:vAlign w:val="center"/>
          </w:tcPr>
          <w:p>
            <w:pPr>
              <w:jc w:val="center"/>
            </w:pPr>
            <w:r>
              <w:rPr>
                <w:b/>
                <w:bCs/>
                <w:color w:val="FFFFFF"/>
                <w:sz w:val="20"/>
                <w:szCs w:val="20"/>
              </w:rPr>
              <w:t xml:space="preserve">Punto de venta</w:t>
            </w:r>
          </w:p>
        </w:tc>
        <w:tc>
          <w:tcPr>
            <w:tcW w:type="dxa" w:w="3960"/>
            <w:shd w:fill="1F3864" w:color="auto" w:val="clear"/>
            <w:tcMar>
              <w:top w:type="dxa" w:w="80"/>
              <w:left w:type="dxa" w:w="100"/>
              <w:bottom w:type="dxa" w:w="80"/>
              <w:right w:type="dxa" w:w="100"/>
            </w:tcMar>
            <w:vAlign w:val="center"/>
          </w:tcPr>
          <w:p>
            <w:pPr>
              <w:jc w:val="center"/>
            </w:pPr>
            <w:r>
              <w:rPr>
                <w:b/>
                <w:bCs/>
                <w:color w:val="FFFFFF"/>
                <w:sz w:val="20"/>
                <w:szCs w:val="20"/>
              </w:rPr>
              <w:t xml:space="preserve">Demanda (unidades)</w:t>
            </w:r>
          </w:p>
        </w:tc>
      </w:tr>
      <w:tr>
        <w:trPr>
          <w:cantSplit/>
        </w:trPr>
        <w:tc>
          <w:tcPr>
            <w:tcW w:type="dxa" w:w="540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1</w:t>
            </w:r>
          </w:p>
        </w:tc>
        <w:tc>
          <w:tcPr>
            <w:tcW w:type="dxa" w:w="396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80</w:t>
            </w:r>
          </w:p>
        </w:tc>
      </w:tr>
      <w:tr>
        <w:trPr>
          <w:cantSplit/>
        </w:trPr>
        <w:tc>
          <w:tcPr>
            <w:tcW w:type="dxa" w:w="5400"/>
            <w:shd w:fill="F2F2F2" w:color="auto" w:val="clear"/>
            <w:tcMar>
              <w:top w:type="dxa" w:w="80"/>
              <w:left w:type="dxa" w:w="100"/>
              <w:bottom w:type="dxa" w:w="80"/>
              <w:right w:type="dxa" w:w="100"/>
            </w:tcMar>
            <w:vAlign w:val="center"/>
          </w:tcPr>
          <w:p>
            <w:pPr>
              <w:jc w:val="center"/>
            </w:pPr>
            <w:r>
              <w:rPr>
                <w:b w:val="false"/>
                <w:bCs w:val="false"/>
                <w:color w:val="000000"/>
                <w:sz w:val="20"/>
                <w:szCs w:val="20"/>
              </w:rPr>
              <w:t xml:space="preserve">2</w:t>
            </w:r>
          </w:p>
        </w:tc>
        <w:tc>
          <w:tcPr>
            <w:tcW w:type="dxa" w:w="3960"/>
            <w:shd w:fill="F2F2F2" w:color="auto" w:val="clear"/>
            <w:tcMar>
              <w:top w:type="dxa" w:w="80"/>
              <w:left w:type="dxa" w:w="100"/>
              <w:bottom w:type="dxa" w:w="80"/>
              <w:right w:type="dxa" w:w="100"/>
            </w:tcMar>
            <w:vAlign w:val="center"/>
          </w:tcPr>
          <w:p>
            <w:pPr>
              <w:jc w:val="center"/>
            </w:pPr>
            <w:r>
              <w:rPr>
                <w:b w:val="false"/>
                <w:bCs w:val="false"/>
                <w:color w:val="000000"/>
                <w:sz w:val="20"/>
                <w:szCs w:val="20"/>
              </w:rPr>
              <w:t xml:space="preserve">90</w:t>
            </w:r>
          </w:p>
        </w:tc>
      </w:tr>
      <w:tr>
        <w:trPr>
          <w:cantSplit/>
        </w:trPr>
        <w:tc>
          <w:tcPr>
            <w:tcW w:type="dxa" w:w="540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3</w:t>
            </w:r>
          </w:p>
        </w:tc>
        <w:tc>
          <w:tcPr>
            <w:tcW w:type="dxa" w:w="396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120</w:t>
            </w:r>
          </w:p>
        </w:tc>
      </w:tr>
      <w:tr>
        <w:trPr>
          <w:cantSplit/>
        </w:trPr>
        <w:tc>
          <w:tcPr>
            <w:tcW w:type="dxa" w:w="5400"/>
            <w:shd w:fill="F2F2F2" w:color="auto" w:val="clear"/>
            <w:tcMar>
              <w:top w:type="dxa" w:w="80"/>
              <w:left w:type="dxa" w:w="100"/>
              <w:bottom w:type="dxa" w:w="80"/>
              <w:right w:type="dxa" w:w="100"/>
            </w:tcMar>
            <w:vAlign w:val="center"/>
          </w:tcPr>
          <w:p>
            <w:pPr>
              <w:jc w:val="center"/>
            </w:pPr>
            <w:r>
              <w:rPr>
                <w:b w:val="false"/>
                <w:bCs w:val="false"/>
                <w:color w:val="000000"/>
                <w:sz w:val="20"/>
                <w:szCs w:val="20"/>
              </w:rPr>
              <w:t xml:space="preserve">4</w:t>
            </w:r>
          </w:p>
        </w:tc>
        <w:tc>
          <w:tcPr>
            <w:tcW w:type="dxa" w:w="3960"/>
            <w:shd w:fill="F2F2F2" w:color="auto" w:val="clear"/>
            <w:tcMar>
              <w:top w:type="dxa" w:w="80"/>
              <w:left w:type="dxa" w:w="100"/>
              <w:bottom w:type="dxa" w:w="80"/>
              <w:right w:type="dxa" w:w="100"/>
            </w:tcMar>
            <w:vAlign w:val="center"/>
          </w:tcPr>
          <w:p>
            <w:pPr>
              <w:jc w:val="center"/>
            </w:pPr>
            <w:r>
              <w:rPr>
                <w:b w:val="false"/>
                <w:bCs w:val="false"/>
                <w:color w:val="000000"/>
                <w:sz w:val="20"/>
                <w:szCs w:val="20"/>
              </w:rPr>
              <w:t xml:space="preserve">60</w:t>
            </w:r>
          </w:p>
        </w:tc>
      </w:tr>
      <w:tr>
        <w:trPr>
          <w:cantSplit/>
        </w:trPr>
        <w:tc>
          <w:tcPr>
            <w:tcW w:type="dxa" w:w="540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5</w:t>
            </w:r>
          </w:p>
        </w:tc>
        <w:tc>
          <w:tcPr>
            <w:tcW w:type="dxa" w:w="396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100</w:t>
            </w:r>
          </w:p>
        </w:tc>
      </w:tr>
      <w:tr>
        <w:trPr>
          <w:cantSplit/>
        </w:trPr>
        <w:tc>
          <w:tcPr>
            <w:tcW w:type="dxa" w:w="5400"/>
            <w:shd w:fill="F2F2F2" w:color="auto" w:val="clear"/>
            <w:tcMar>
              <w:top w:type="dxa" w:w="80"/>
              <w:left w:type="dxa" w:w="100"/>
              <w:bottom w:type="dxa" w:w="80"/>
              <w:right w:type="dxa" w:w="100"/>
            </w:tcMar>
            <w:vAlign w:val="center"/>
          </w:tcPr>
          <w:p>
            <w:pPr>
              <w:jc w:val="center"/>
            </w:pPr>
            <w:r>
              <w:rPr>
                <w:b w:val="false"/>
                <w:bCs w:val="false"/>
                <w:color w:val="000000"/>
                <w:sz w:val="20"/>
                <w:szCs w:val="20"/>
              </w:rPr>
              <w:t xml:space="preserve">Total demandado</w:t>
            </w:r>
          </w:p>
        </w:tc>
        <w:tc>
          <w:tcPr>
            <w:tcW w:type="dxa" w:w="3960"/>
            <w:shd w:fill="F2F2F2" w:color="auto" w:val="clear"/>
            <w:tcMar>
              <w:top w:type="dxa" w:w="80"/>
              <w:left w:type="dxa" w:w="100"/>
              <w:bottom w:type="dxa" w:w="80"/>
              <w:right w:type="dxa" w:w="100"/>
            </w:tcMar>
            <w:vAlign w:val="center"/>
          </w:tcPr>
          <w:p>
            <w:pPr>
              <w:jc w:val="center"/>
            </w:pPr>
            <w:r>
              <w:rPr>
                <w:b w:val="false"/>
                <w:bCs w:val="false"/>
                <w:color w:val="000000"/>
                <w:sz w:val="20"/>
                <w:szCs w:val="20"/>
              </w:rPr>
              <w:t xml:space="preserve">450</w:t>
            </w:r>
          </w:p>
        </w:tc>
      </w:tr>
    </w:tbl>
    <w:p>
      <w:pPr>
        <w:spacing w:after="240" w:before="60"/>
        <w:jc w:val="center"/>
      </w:pPr>
      <w:r>
        <w:rPr>
          <w:i/>
          <w:iCs/>
          <w:color w:val="555555"/>
          <w:sz w:val="18"/>
          <w:szCs w:val="18"/>
        </w:rPr>
        <w:t xml:space="preserve">Tabla 2. Demanda de producto por punto de venta.</w:t>
      </w:r>
    </w:p>
    <w:p>
      <w:pPr>
        <w:pStyle w:val="Heading3"/>
        <w:spacing w:after="100" w:before="200"/>
      </w:pPr>
      <w:r>
        <w:rPr>
          <w:b/>
          <w:bCs/>
          <w:i/>
          <w:iCs/>
          <w:sz w:val="22"/>
          <w:szCs w:val="22"/>
        </w:rPr>
        <w:t xml:space="preserve">Costos de transporte por unidad (en unidades monetarias)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1440"/>
        <w:gridCol w:w="1440"/>
        <w:gridCol w:w="1440"/>
        <w:gridCol w:w="1440"/>
      </w:tblGrid>
      <w:tr>
        <w:trPr>
          <w:cantSplit/>
          <w:tblHeader/>
        </w:trPr>
        <w:tc>
          <w:tcPr>
            <w:tcW w:type="dxa" w:w="2160"/>
            <w:shd w:fill="1F3864" w:color="auto" w:val="clear"/>
            <w:tcMar>
              <w:top w:type="dxa" w:w="80"/>
              <w:left w:type="dxa" w:w="100"/>
              <w:bottom w:type="dxa" w:w="80"/>
              <w:right w:type="dxa" w:w="100"/>
            </w:tcMar>
            <w:vAlign w:val="center"/>
          </w:tcPr>
          <w:p>
            <w:pPr>
              <w:jc w:val="center"/>
            </w:pPr>
            <w:r>
              <w:rPr>
                <w:b/>
                <w:bCs/>
                <w:color w:val="FFFFFF"/>
                <w:sz w:val="20"/>
                <w:szCs w:val="20"/>
              </w:rPr>
              <w:t xml:space="preserve">Centro \ Punto</w:t>
            </w:r>
          </w:p>
        </w:tc>
        <w:tc>
          <w:tcPr>
            <w:tcW w:type="dxa" w:w="1440"/>
            <w:shd w:fill="1F3864" w:color="auto" w:val="clear"/>
            <w:tcMar>
              <w:top w:type="dxa" w:w="80"/>
              <w:left w:type="dxa" w:w="100"/>
              <w:bottom w:type="dxa" w:w="80"/>
              <w:right w:type="dxa" w:w="100"/>
            </w:tcMar>
            <w:vAlign w:val="center"/>
          </w:tcPr>
          <w:p>
            <w:pPr>
              <w:jc w:val="center"/>
            </w:pPr>
            <w:r>
              <w:rPr>
                <w:b/>
                <w:bCs/>
                <w:color w:val="FFFFFF"/>
                <w:sz w:val="20"/>
                <w:szCs w:val="20"/>
              </w:rPr>
              <w:t xml:space="preserve">1</w:t>
            </w:r>
          </w:p>
        </w:tc>
        <w:tc>
          <w:tcPr>
            <w:tcW w:type="dxa" w:w="1440"/>
            <w:shd w:fill="1F3864" w:color="auto" w:val="clear"/>
            <w:tcMar>
              <w:top w:type="dxa" w:w="80"/>
              <w:left w:type="dxa" w:w="100"/>
              <w:bottom w:type="dxa" w:w="80"/>
              <w:right w:type="dxa" w:w="100"/>
            </w:tcMar>
            <w:vAlign w:val="center"/>
          </w:tcPr>
          <w:p>
            <w:pPr>
              <w:jc w:val="center"/>
            </w:pPr>
            <w:r>
              <w:rPr>
                <w:b/>
                <w:bCs/>
                <w:color w:val="FFFFFF"/>
                <w:sz w:val="20"/>
                <w:szCs w:val="20"/>
              </w:rPr>
              <w:t xml:space="preserve">2</w:t>
            </w:r>
          </w:p>
        </w:tc>
        <w:tc>
          <w:tcPr>
            <w:tcW w:type="dxa" w:w="1440"/>
            <w:shd w:fill="1F3864" w:color="auto" w:val="clear"/>
            <w:tcMar>
              <w:top w:type="dxa" w:w="80"/>
              <w:left w:type="dxa" w:w="100"/>
              <w:bottom w:type="dxa" w:w="80"/>
              <w:right w:type="dxa" w:w="100"/>
            </w:tcMar>
            <w:vAlign w:val="center"/>
          </w:tcPr>
          <w:p>
            <w:pPr>
              <w:jc w:val="center"/>
            </w:pPr>
            <w:r>
              <w:rPr>
                <w:b/>
                <w:bCs/>
                <w:color w:val="FFFFFF"/>
                <w:sz w:val="20"/>
                <w:szCs w:val="20"/>
              </w:rPr>
              <w:t xml:space="preserve">3</w:t>
            </w:r>
          </w:p>
        </w:tc>
        <w:tc>
          <w:tcPr>
            <w:tcW w:type="dxa" w:w="1440"/>
            <w:shd w:fill="1F3864" w:color="auto" w:val="clear"/>
            <w:tcMar>
              <w:top w:type="dxa" w:w="80"/>
              <w:left w:type="dxa" w:w="100"/>
              <w:bottom w:type="dxa" w:w="80"/>
              <w:right w:type="dxa" w:w="100"/>
            </w:tcMar>
            <w:vAlign w:val="center"/>
          </w:tcPr>
          <w:p>
            <w:pPr>
              <w:jc w:val="center"/>
            </w:pPr>
            <w:r>
              <w:rPr>
                <w:b/>
                <w:bCs/>
                <w:color w:val="FFFFFF"/>
                <w:sz w:val="20"/>
                <w:szCs w:val="20"/>
              </w:rPr>
              <w:t xml:space="preserve">4</w:t>
            </w:r>
          </w:p>
        </w:tc>
        <w:tc>
          <w:tcPr>
            <w:tcW w:type="dxa" w:w="1440"/>
            <w:shd w:fill="1F3864" w:color="auto" w:val="clear"/>
            <w:tcMar>
              <w:top w:type="dxa" w:w="80"/>
              <w:left w:type="dxa" w:w="100"/>
              <w:bottom w:type="dxa" w:w="80"/>
              <w:right w:type="dxa" w:w="100"/>
            </w:tcMar>
            <w:vAlign w:val="center"/>
          </w:tcPr>
          <w:p>
            <w:pPr>
              <w:jc w:val="center"/>
            </w:pPr>
            <w:r>
              <w:rPr>
                <w:b/>
                <w:bCs/>
                <w:color w:val="FFFFFF"/>
                <w:sz w:val="20"/>
                <w:szCs w:val="20"/>
              </w:rPr>
              <w:t xml:space="preserve">5</w:t>
            </w:r>
          </w:p>
        </w:tc>
      </w:tr>
      <w:tr>
        <w:trPr>
          <w:cantSplit/>
        </w:trPr>
        <w:tc>
          <w:tcPr>
            <w:tcW w:type="dxa" w:w="216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A</w:t>
            </w:r>
          </w:p>
        </w:tc>
        <w:tc>
          <w:tcPr>
            <w:tcW w:type="dxa" w:w="144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4</w:t>
            </w:r>
          </w:p>
        </w:tc>
        <w:tc>
          <w:tcPr>
            <w:tcW w:type="dxa" w:w="144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6</w:t>
            </w:r>
          </w:p>
        </w:tc>
        <w:tc>
          <w:tcPr>
            <w:tcW w:type="dxa" w:w="144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8</w:t>
            </w:r>
          </w:p>
        </w:tc>
        <w:tc>
          <w:tcPr>
            <w:tcW w:type="dxa" w:w="144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10</w:t>
            </w:r>
          </w:p>
        </w:tc>
        <w:tc>
          <w:tcPr>
            <w:tcW w:type="dxa" w:w="144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12</w:t>
            </w:r>
          </w:p>
        </w:tc>
      </w:tr>
      <w:tr>
        <w:trPr>
          <w:cantSplit/>
        </w:trPr>
        <w:tc>
          <w:tcPr>
            <w:tcW w:type="dxa" w:w="2160"/>
            <w:shd w:fill="F2F2F2" w:color="auto" w:val="clear"/>
            <w:tcMar>
              <w:top w:type="dxa" w:w="80"/>
              <w:left w:type="dxa" w:w="100"/>
              <w:bottom w:type="dxa" w:w="80"/>
              <w:right w:type="dxa" w:w="100"/>
            </w:tcMar>
            <w:vAlign w:val="center"/>
          </w:tcPr>
          <w:p>
            <w:pPr>
              <w:jc w:val="center"/>
            </w:pPr>
            <w:r>
              <w:rPr>
                <w:b w:val="false"/>
                <w:bCs w:val="false"/>
                <w:color w:val="000000"/>
                <w:sz w:val="20"/>
                <w:szCs w:val="20"/>
              </w:rPr>
              <w:t xml:space="preserve">B</w:t>
            </w:r>
          </w:p>
        </w:tc>
        <w:tc>
          <w:tcPr>
            <w:tcW w:type="dxa" w:w="1440"/>
            <w:shd w:fill="F2F2F2" w:color="auto" w:val="clear"/>
            <w:tcMar>
              <w:top w:type="dxa" w:w="80"/>
              <w:left w:type="dxa" w:w="100"/>
              <w:bottom w:type="dxa" w:w="80"/>
              <w:right w:type="dxa" w:w="100"/>
            </w:tcMar>
            <w:vAlign w:val="center"/>
          </w:tcPr>
          <w:p>
            <w:pPr>
              <w:jc w:val="center"/>
            </w:pPr>
            <w:r>
              <w:rPr>
                <w:b w:val="false"/>
                <w:bCs w:val="false"/>
                <w:color w:val="000000"/>
                <w:sz w:val="20"/>
                <w:szCs w:val="20"/>
              </w:rPr>
              <w:t xml:space="preserve">5</w:t>
            </w:r>
          </w:p>
        </w:tc>
        <w:tc>
          <w:tcPr>
            <w:tcW w:type="dxa" w:w="1440"/>
            <w:shd w:fill="F2F2F2" w:color="auto" w:val="clear"/>
            <w:tcMar>
              <w:top w:type="dxa" w:w="80"/>
              <w:left w:type="dxa" w:w="100"/>
              <w:bottom w:type="dxa" w:w="80"/>
              <w:right w:type="dxa" w:w="100"/>
            </w:tcMar>
            <w:vAlign w:val="center"/>
          </w:tcPr>
          <w:p>
            <w:pPr>
              <w:jc w:val="center"/>
            </w:pPr>
            <w:r>
              <w:rPr>
                <w:b w:val="false"/>
                <w:bCs w:val="false"/>
                <w:color w:val="000000"/>
                <w:sz w:val="20"/>
                <w:szCs w:val="20"/>
              </w:rPr>
              <w:t xml:space="preserve">7</w:t>
            </w:r>
          </w:p>
        </w:tc>
        <w:tc>
          <w:tcPr>
            <w:tcW w:type="dxa" w:w="1440"/>
            <w:shd w:fill="F2F2F2" w:color="auto" w:val="clear"/>
            <w:tcMar>
              <w:top w:type="dxa" w:w="80"/>
              <w:left w:type="dxa" w:w="100"/>
              <w:bottom w:type="dxa" w:w="80"/>
              <w:right w:type="dxa" w:w="100"/>
            </w:tcMar>
            <w:vAlign w:val="center"/>
          </w:tcPr>
          <w:p>
            <w:pPr>
              <w:jc w:val="center"/>
            </w:pPr>
            <w:r>
              <w:rPr>
                <w:b w:val="false"/>
                <w:bCs w:val="false"/>
                <w:color w:val="000000"/>
                <w:sz w:val="20"/>
                <w:szCs w:val="20"/>
              </w:rPr>
              <w:t xml:space="preserve">9</w:t>
            </w:r>
          </w:p>
        </w:tc>
        <w:tc>
          <w:tcPr>
            <w:tcW w:type="dxa" w:w="1440"/>
            <w:shd w:fill="F2F2F2" w:color="auto" w:val="clear"/>
            <w:tcMar>
              <w:top w:type="dxa" w:w="80"/>
              <w:left w:type="dxa" w:w="100"/>
              <w:bottom w:type="dxa" w:w="80"/>
              <w:right w:type="dxa" w:w="100"/>
            </w:tcMar>
            <w:vAlign w:val="center"/>
          </w:tcPr>
          <w:p>
            <w:pPr>
              <w:jc w:val="center"/>
            </w:pPr>
            <w:r>
              <w:rPr>
                <w:b w:val="false"/>
                <w:bCs w:val="false"/>
                <w:color w:val="000000"/>
                <w:sz w:val="20"/>
                <w:szCs w:val="20"/>
              </w:rPr>
              <w:t xml:space="preserve">11</w:t>
            </w:r>
          </w:p>
        </w:tc>
        <w:tc>
          <w:tcPr>
            <w:tcW w:type="dxa" w:w="1440"/>
            <w:shd w:fill="F2F2F2" w:color="auto" w:val="clear"/>
            <w:tcMar>
              <w:top w:type="dxa" w:w="80"/>
              <w:left w:type="dxa" w:w="100"/>
              <w:bottom w:type="dxa" w:w="80"/>
              <w:right w:type="dxa" w:w="100"/>
            </w:tcMar>
            <w:vAlign w:val="center"/>
          </w:tcPr>
          <w:p>
            <w:pPr>
              <w:jc w:val="center"/>
            </w:pPr>
            <w:r>
              <w:rPr>
                <w:b w:val="false"/>
                <w:bCs w:val="false"/>
                <w:color w:val="000000"/>
                <w:sz w:val="20"/>
                <w:szCs w:val="20"/>
              </w:rPr>
              <w:t xml:space="preserve">13</w:t>
            </w:r>
          </w:p>
        </w:tc>
      </w:tr>
      <w:tr>
        <w:trPr>
          <w:cantSplit/>
        </w:trPr>
        <w:tc>
          <w:tcPr>
            <w:tcW w:type="dxa" w:w="216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C</w:t>
            </w:r>
          </w:p>
        </w:tc>
        <w:tc>
          <w:tcPr>
            <w:tcW w:type="dxa" w:w="144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6</w:t>
            </w:r>
          </w:p>
        </w:tc>
        <w:tc>
          <w:tcPr>
            <w:tcW w:type="dxa" w:w="144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8</w:t>
            </w:r>
          </w:p>
        </w:tc>
        <w:tc>
          <w:tcPr>
            <w:tcW w:type="dxa" w:w="144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10</w:t>
            </w:r>
          </w:p>
        </w:tc>
        <w:tc>
          <w:tcPr>
            <w:tcW w:type="dxa" w:w="144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12</w:t>
            </w:r>
          </w:p>
        </w:tc>
        <w:tc>
          <w:tcPr>
            <w:tcW w:type="dxa" w:w="144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14</w:t>
            </w:r>
          </w:p>
        </w:tc>
      </w:tr>
    </w:tbl>
    <w:p>
      <w:pPr>
        <w:spacing w:after="240" w:before="60"/>
        <w:jc w:val="center"/>
      </w:pPr>
      <w:r>
        <w:rPr>
          <w:i/>
          <w:iCs/>
          <w:color w:val="555555"/>
          <w:sz w:val="18"/>
          <w:szCs w:val="18"/>
        </w:rPr>
        <w:t xml:space="preserve">Tabla 3. Costo de transporte de una unidad de producto entre cada centro y cada punto de venta.</w:t>
      </w:r>
    </w:p>
    <w:p>
      <w:pPr>
        <w:pStyle w:val="Heading2"/>
        <w:spacing w:after="140" w:before="280"/>
      </w:pPr>
      <w:r>
        <w:rPr>
          <w:b/>
          <w:bCs/>
          <w:color w:val="1F3864"/>
          <w:sz w:val="24"/>
          <w:szCs w:val="24"/>
        </w:rPr>
        <w:t xml:space="preserve">2.2 Tipo de problema y supuestos</w:t>
      </w:r>
    </w:p>
    <w:p>
      <w:pPr>
        <w:spacing w:after="160" w:line="276"/>
        <w:jc w:val="both"/>
      </w:pPr>
      <w:r>
        <w:rPr>
          <w:sz w:val="22"/>
          <w:szCs w:val="22"/>
        </w:rPr>
        <w:t xml:space="preserve">Se trata de un problema de transporte clásico dentro de la programación lineal (Hillier &amp; Lieberman, 2015; Taha, 2017). Antes de formular el modelo se verifica la condición de equilibrio entre oferta y demanda:</w:t>
      </w:r>
    </w:p>
    <w:p>
      <w:pPr>
        <w:spacing w:after="160" w:before="100"/>
        <w:jc w:val="center"/>
      </w:pPr>
      <w:r>
        <w:rPr>
          <w:i/>
          <w:iCs/>
          <w:sz w:val="22"/>
          <w:szCs w:val="22"/>
        </w:rPr>
        <w:t xml:space="preserve">Oferta total = 100 + 150 + 200 = 450 unidades          Demanda total = 80 + 90 + 120 + 60 + 100 = 450 unidades</w:t>
      </w:r>
    </w:p>
    <w:p>
      <w:pPr>
        <w:spacing w:after="160" w:line="276"/>
        <w:jc w:val="both"/>
      </w:pPr>
      <w:r>
        <w:rPr>
          <w:sz w:val="22"/>
          <w:szCs w:val="22"/>
        </w:rPr>
        <w:t xml:space="preserve">Como la oferta total es igual a la demanda total, el problema está balanceado y puede resolverse directamente como un problema de transporte estándar, sin necesidad de introducir un centro de distribución ficticio ni un punto de venta ficticio (variables dummy).</w:t>
      </w:r>
    </w:p>
    <w:p>
      <w:pPr>
        <w:spacing w:after="160" w:line="276"/>
        <w:jc w:val="both"/>
      </w:pPr>
      <w:r>
        <w:rPr>
          <w:sz w:val="22"/>
          <w:szCs w:val="22"/>
        </w:rPr>
        <w:t xml:space="preserve">Los supuestos del modelo son los habituales en este tipo de problemas (Render, Stair, Hanna, &amp; Hale, 2018; Taha, 2017):</w:t>
      </w:r>
    </w:p>
    <w:p>
      <w:pPr>
        <w:pStyle w:val="ListParagraph"/>
        <w:numPr>
          <w:ilvl w:val="0"/>
          <w:numId w:val="2"/>
        </w:numPr>
        <w:spacing w:after="80"/>
      </w:pPr>
      <w:r>
        <w:rPr>
          <w:sz w:val="22"/>
          <w:szCs w:val="22"/>
        </w:rPr>
        <w:t xml:space="preserve">Los costos de transporte por unidad son constantes y no dependen de la cantidad enviada (no existen economías de escala ni descuentos por volumen).</w:t>
      </w:r>
    </w:p>
    <w:p>
      <w:pPr>
        <w:pStyle w:val="ListParagraph"/>
        <w:numPr>
          <w:ilvl w:val="0"/>
          <w:numId w:val="2"/>
        </w:numPr>
        <w:spacing w:after="80"/>
      </w:pPr>
      <w:r>
        <w:rPr>
          <w:sz w:val="22"/>
          <w:szCs w:val="22"/>
        </w:rPr>
        <w:t xml:space="preserve">El producto es homogéneo y perfectamente divisible entre las rutas de distribución.</w:t>
      </w:r>
    </w:p>
    <w:p>
      <w:pPr>
        <w:pStyle w:val="ListParagraph"/>
        <w:numPr>
          <w:ilvl w:val="0"/>
          <w:numId w:val="2"/>
        </w:numPr>
        <w:spacing w:after="80"/>
      </w:pPr>
      <w:r>
        <w:rPr>
          <w:sz w:val="22"/>
          <w:szCs w:val="22"/>
        </w:rPr>
        <w:t xml:space="preserve">Cada centro puede enviar producto a cualquier punto de venta; no existen restricciones de capacidad propias de cada ruta distintas de la disponibilidad total del centro de origen.</w:t>
      </w:r>
    </w:p>
    <w:p>
      <w:pPr>
        <w:pStyle w:val="ListParagraph"/>
        <w:numPr>
          <w:ilvl w:val="0"/>
          <w:numId w:val="2"/>
        </w:numPr>
        <w:spacing w:after="80"/>
      </w:pPr>
      <w:r>
        <w:rPr>
          <w:sz w:val="22"/>
          <w:szCs w:val="22"/>
        </w:rPr>
        <w:t xml:space="preserve">No se consideran tiempos de tránsito, perecibilidad del producto ni restricciones de capacidad vehicular; el criterio de optimización es exclusivamente el costo de transporte.</w:t>
      </w:r>
    </w:p>
    <w:p>
      <w:pPr>
        <w:pBdr>
          <w:top w:val="single" w:color="BFBFBF" w:sz="4" w:space="4"/>
        </w:pBdr>
        <w:spacing w:after="60" w:before="200"/>
      </w:pPr>
      <w:r>
        <w:rPr>
          <w:b/>
          <w:bCs/>
          <w:i/>
          <w:iCs/>
          <w:color w:val="555555"/>
          <w:sz w:val="18"/>
          <w:szCs w:val="18"/>
        </w:rPr>
        <w:t xml:space="preserve">Fuente(s) de esta sección (formato APA):</w:t>
      </w:r>
    </w:p>
    <w:p>
      <w:pPr>
        <w:spacing w:after="60"/>
        <w:ind w:left="460" w:hanging="260"/>
      </w:pPr>
      <w:r>
        <w:rPr>
          <w:color w:val="555555"/>
          <w:sz w:val="18"/>
          <w:szCs w:val="18"/>
        </w:rPr>
        <w:t xml:space="preserve">• </w:t>
      </w:r>
      <w:r>
        <w:rPr>
          <w:i w:val="false"/>
          <w:iCs w:val="false"/>
          <w:color w:val="555555"/>
          <w:sz w:val="18"/>
          <w:szCs w:val="18"/>
        </w:rPr>
        <w:t xml:space="preserve">Taha, H. A. (2017). </w:t>
      </w:r>
      <w:r>
        <w:rPr>
          <w:i/>
          <w:iCs/>
          <w:color w:val="555555"/>
          <w:sz w:val="18"/>
          <w:szCs w:val="18"/>
        </w:rPr>
        <w:t xml:space="preserve">Operations research: An introduction</w:t>
      </w:r>
      <w:r>
        <w:rPr>
          <w:i w:val="false"/>
          <w:iCs w:val="false"/>
          <w:color w:val="555555"/>
          <w:sz w:val="18"/>
          <w:szCs w:val="18"/>
        </w:rPr>
        <w:t xml:space="preserve"> (10.ª ed.). Pearson.</w:t>
      </w:r>
    </w:p>
    <w:p>
      <w:pPr>
        <w:spacing w:after="60"/>
        <w:ind w:left="460" w:hanging="260"/>
      </w:pPr>
      <w:r>
        <w:rPr>
          <w:color w:val="555555"/>
          <w:sz w:val="18"/>
          <w:szCs w:val="18"/>
        </w:rPr>
        <w:t xml:space="preserve">• </w:t>
      </w:r>
      <w:r>
        <w:rPr>
          <w:i w:val="false"/>
          <w:iCs w:val="false"/>
          <w:color w:val="555555"/>
          <w:sz w:val="18"/>
          <w:szCs w:val="18"/>
        </w:rPr>
        <w:t xml:space="preserve">Render, B., Stair, R. M., Hanna, M. E., &amp; Hale, T. S. (2018). </w:t>
      </w:r>
      <w:r>
        <w:rPr>
          <w:i/>
          <w:iCs/>
          <w:color w:val="555555"/>
          <w:sz w:val="18"/>
          <w:szCs w:val="18"/>
        </w:rPr>
        <w:t xml:space="preserve">Quantitative analysis for management</w:t>
      </w:r>
      <w:r>
        <w:rPr>
          <w:i w:val="false"/>
          <w:iCs w:val="false"/>
          <w:color w:val="555555"/>
          <w:sz w:val="18"/>
          <w:szCs w:val="18"/>
        </w:rPr>
        <w:t xml:space="preserve"> (13.ª ed.). Pearson.</w:t>
      </w:r>
    </w:p>
    <w:p>
      <w:pPr>
        <w:spacing w:after="0"/>
        <w:ind w:left="460" w:hanging="260"/>
      </w:pPr>
      <w:r>
        <w:rPr>
          <w:color w:val="555555"/>
          <w:sz w:val="18"/>
          <w:szCs w:val="18"/>
        </w:rPr>
        <w:t xml:space="preserve">• </w:t>
      </w:r>
      <w:r>
        <w:rPr>
          <w:i w:val="false"/>
          <w:iCs w:val="false"/>
          <w:color w:val="555555"/>
          <w:sz w:val="18"/>
          <w:szCs w:val="18"/>
        </w:rPr>
        <w:t xml:space="preserve">Hillier, F. S., &amp; Lieberman, G. J. (2015). </w:t>
      </w:r>
      <w:r>
        <w:rPr>
          <w:i/>
          <w:iCs/>
          <w:color w:val="555555"/>
          <w:sz w:val="18"/>
          <w:szCs w:val="18"/>
        </w:rPr>
        <w:t xml:space="preserve">Introduction to operations research</w:t>
      </w:r>
      <w:r>
        <w:rPr>
          <w:i w:val="false"/>
          <w:iCs w:val="false"/>
          <w:color w:val="555555"/>
          <w:sz w:val="18"/>
          <w:szCs w:val="18"/>
        </w:rPr>
        <w:t xml:space="preserve"> (10.ª ed.). McGraw-Hill Education.</w:t>
      </w:r>
    </w:p>
    <w:p>
      <w:pPr>
        <w:pStyle w:val="Heading1"/>
        <w:pBdr>
          <w:bottom w:val="single" w:color="1F3864" w:sz="8" w:space="4"/>
        </w:pBdr>
        <w:spacing w:after="200" w:before="360"/>
      </w:pPr>
      <w:r>
        <w:rPr>
          <w:b/>
          <w:bCs/>
          <w:color w:val="1F3864"/>
          <w:sz w:val="28"/>
          <w:szCs w:val="28"/>
        </w:rPr>
        <w:t xml:space="preserve">3. Modelo matemático de programación lineal</w:t>
      </w:r>
    </w:p>
    <w:p>
      <w:pPr>
        <w:pStyle w:val="Heading2"/>
        <w:spacing w:after="140" w:before="280"/>
      </w:pPr>
      <w:r>
        <w:rPr>
          <w:b/>
          <w:bCs/>
          <w:color w:val="1F3864"/>
          <w:sz w:val="24"/>
          <w:szCs w:val="24"/>
        </w:rPr>
        <w:t xml:space="preserve">3.1 Variables de decisión</w:t>
      </w:r>
    </w:p>
    <w:p>
      <w:pPr>
        <w:spacing w:after="160" w:line="276"/>
        <w:jc w:val="both"/>
      </w:pPr>
      <w:r>
        <w:rPr>
          <w:sz w:val="22"/>
          <w:szCs w:val="22"/>
        </w:rPr>
        <w:t xml:space="preserve">Se define la variable de decisión Xij como la cantidad de unidades de producto transportadas desde el centro de distribución i hasta el punto de venta j, con i ∈ {A, B, C} y j ∈ {1, 2, 3, 4, 5}. En total el modelo cuenta con 3 × 5 = 15 variables de decisión:</w:t>
      </w:r>
    </w:p>
    <w:p>
      <w:pPr>
        <w:spacing w:after="160" w:before="100"/>
        <w:jc w:val="center"/>
      </w:pPr>
      <w:r>
        <w:rPr>
          <w:i/>
          <w:iCs/>
          <w:sz w:val="22"/>
          <w:szCs w:val="22"/>
        </w:rPr>
        <w:t xml:space="preserve">Xij ≥ 0 ,   i ∈ {A, B, C} ,   j ∈ {1, 2, 3, 4, 5}</w:t>
      </w:r>
    </w:p>
    <w:p>
      <w:pPr>
        <w:spacing w:after="160" w:line="276"/>
        <w:jc w:val="both"/>
      </w:pPr>
      <w:r>
        <w:rPr>
          <w:sz w:val="22"/>
          <w:szCs w:val="22"/>
        </w:rPr>
        <w:t xml:space="preserve">Por ejemplo, XA1 representa las unidades enviadas del centro A al punto de venta 1, y XC5 las unidades enviadas del centro C al punto de venta 5.</w:t>
      </w:r>
    </w:p>
    <w:p>
      <w:pPr>
        <w:pStyle w:val="Heading2"/>
        <w:spacing w:after="140" w:before="280"/>
      </w:pPr>
      <w:r>
        <w:rPr>
          <w:b/>
          <w:bCs/>
          <w:color w:val="1F3864"/>
          <w:sz w:val="24"/>
          <w:szCs w:val="24"/>
        </w:rPr>
        <w:t xml:space="preserve">3.2 Función objetivo</w:t>
      </w:r>
    </w:p>
    <w:p>
      <w:pPr>
        <w:spacing w:after="160" w:line="276"/>
        <w:jc w:val="both"/>
      </w:pPr>
      <w:r>
        <w:rPr>
          <w:sz w:val="22"/>
          <w:szCs w:val="22"/>
        </w:rPr>
        <w:t xml:space="preserve">La función objetivo minimiza el costo total de transporte, que es la suma de los costos unitarios de cada ruta multiplicados por las unidades enviadas por esa ruta (Winston, 2004):</w:t>
      </w:r>
    </w:p>
    <w:p>
      <w:pPr>
        <w:spacing w:after="160" w:before="100"/>
        <w:jc w:val="center"/>
      </w:pPr>
      <w:r>
        <w:rPr>
          <w:i/>
          <w:iCs/>
          <w:sz w:val="22"/>
          <w:szCs w:val="22"/>
        </w:rPr>
        <w:t xml:space="preserve">Min Z = 4·XA1 + 6·XA2 + 8·XA3 + 10·XA4 + 12·XA5</w:t>
      </w:r>
    </w:p>
    <w:p>
      <w:pPr>
        <w:spacing w:after="160" w:before="100"/>
        <w:jc w:val="center"/>
      </w:pPr>
      <w:r>
        <w:rPr>
          <w:i/>
          <w:iCs/>
          <w:sz w:val="22"/>
          <w:szCs w:val="22"/>
        </w:rPr>
        <w:t xml:space="preserve">      + 5·XB1 + 7·XB2 + 9·XB3 + 11·XB4 + 13·XB5</w:t>
      </w:r>
    </w:p>
    <w:p>
      <w:pPr>
        <w:spacing w:after="160" w:before="100"/>
        <w:jc w:val="center"/>
      </w:pPr>
      <w:r>
        <w:rPr>
          <w:i/>
          <w:iCs/>
          <w:sz w:val="22"/>
          <w:szCs w:val="22"/>
        </w:rPr>
        <w:t xml:space="preserve">      + 6·XC1 + 8·XC2 + 10·XC3 + 12·XC4 + 14·XC5</w:t>
      </w:r>
    </w:p>
    <w:p>
      <w:pPr>
        <w:pStyle w:val="Heading2"/>
        <w:spacing w:after="140" w:before="280"/>
      </w:pPr>
      <w:r>
        <w:rPr>
          <w:b/>
          <w:bCs/>
          <w:color w:val="1F3864"/>
          <w:sz w:val="24"/>
          <w:szCs w:val="24"/>
        </w:rPr>
        <w:t xml:space="preserve">3.3 Restricciones</w:t>
      </w:r>
    </w:p>
    <w:p>
      <w:pPr>
        <w:pStyle w:val="Heading3"/>
        <w:spacing w:after="100" w:before="200"/>
      </w:pPr>
      <w:r>
        <w:rPr>
          <w:b/>
          <w:bCs/>
          <w:i/>
          <w:iCs/>
          <w:sz w:val="22"/>
          <w:szCs w:val="22"/>
        </w:rPr>
        <w:t xml:space="preserve">Restricciones de oferta (disponibilidad de cada centro)</w:t>
      </w:r>
    </w:p>
    <w:p>
      <w:pPr>
        <w:spacing w:after="160" w:line="276"/>
        <w:jc w:val="both"/>
      </w:pPr>
      <w:r>
        <w:rPr>
          <w:sz w:val="22"/>
          <w:szCs w:val="22"/>
        </w:rPr>
        <w:t xml:space="preserve">La cantidad total enviada desde cada centro no puede exceder su disponibilidad:</w:t>
      </w:r>
    </w:p>
    <w:p>
      <w:pPr>
        <w:spacing w:after="160" w:before="100"/>
        <w:jc w:val="center"/>
      </w:pPr>
      <w:r>
        <w:rPr>
          <w:i/>
          <w:iCs/>
          <w:sz w:val="22"/>
          <w:szCs w:val="22"/>
        </w:rPr>
        <w:t xml:space="preserve">XA1 + XA2 + XA3 + XA4 + XA5 ≤ 100     (centro A)</w:t>
      </w:r>
    </w:p>
    <w:p>
      <w:pPr>
        <w:spacing w:after="160" w:before="100"/>
        <w:jc w:val="center"/>
      </w:pPr>
      <w:r>
        <w:rPr>
          <w:i/>
          <w:iCs/>
          <w:sz w:val="22"/>
          <w:szCs w:val="22"/>
        </w:rPr>
        <w:t xml:space="preserve">XB1 + XB2 + XB3 + XB4 + XB5 ≤ 150     (centro B)</w:t>
      </w:r>
    </w:p>
    <w:p>
      <w:pPr>
        <w:spacing w:after="160" w:before="100"/>
        <w:jc w:val="center"/>
      </w:pPr>
      <w:r>
        <w:rPr>
          <w:i/>
          <w:iCs/>
          <w:sz w:val="22"/>
          <w:szCs w:val="22"/>
        </w:rPr>
        <w:t xml:space="preserve">XC1 + XC2 + XC3 + XC4 + XC5 ≤ 200     (centro C)</w:t>
      </w:r>
    </w:p>
    <w:p>
      <w:pPr>
        <w:pStyle w:val="Heading3"/>
        <w:spacing w:after="100" w:before="200"/>
      </w:pPr>
      <w:r>
        <w:rPr>
          <w:b/>
          <w:bCs/>
          <w:i/>
          <w:iCs/>
          <w:sz w:val="22"/>
          <w:szCs w:val="22"/>
        </w:rPr>
        <w:t xml:space="preserve">Restricciones de demanda (satisfacción de cada punto de venta)</w:t>
      </w:r>
    </w:p>
    <w:p>
      <w:pPr>
        <w:spacing w:after="160" w:line="276"/>
        <w:jc w:val="both"/>
      </w:pPr>
      <w:r>
        <w:rPr>
          <w:sz w:val="22"/>
          <w:szCs w:val="22"/>
        </w:rPr>
        <w:t xml:space="preserve">La cantidad total recibida por cada punto de venta debe ser exactamente igual a su demanda (como el problema está balanceado, estas restricciones se plantean con igualdad):</w:t>
      </w:r>
    </w:p>
    <w:p>
      <w:pPr>
        <w:spacing w:after="160" w:before="100"/>
        <w:jc w:val="center"/>
      </w:pPr>
      <w:r>
        <w:rPr>
          <w:i/>
          <w:iCs/>
          <w:sz w:val="22"/>
          <w:szCs w:val="22"/>
        </w:rPr>
        <w:t xml:space="preserve">XA1 + XB1 + XC1 = 80      (punto de venta 1)</w:t>
      </w:r>
    </w:p>
    <w:p>
      <w:pPr>
        <w:spacing w:after="160" w:before="100"/>
        <w:jc w:val="center"/>
      </w:pPr>
      <w:r>
        <w:rPr>
          <w:i/>
          <w:iCs/>
          <w:sz w:val="22"/>
          <w:szCs w:val="22"/>
        </w:rPr>
        <w:t xml:space="preserve">XA2 + XB2 + XC2 = 90      (punto de venta 2)</w:t>
      </w:r>
    </w:p>
    <w:p>
      <w:pPr>
        <w:spacing w:after="160" w:before="100"/>
        <w:jc w:val="center"/>
      </w:pPr>
      <w:r>
        <w:rPr>
          <w:i/>
          <w:iCs/>
          <w:sz w:val="22"/>
          <w:szCs w:val="22"/>
        </w:rPr>
        <w:t xml:space="preserve">XA3 + XB3 + XC3 = 120     (punto de venta 3)</w:t>
      </w:r>
    </w:p>
    <w:p>
      <w:pPr>
        <w:spacing w:after="160" w:before="100"/>
        <w:jc w:val="center"/>
      </w:pPr>
      <w:r>
        <w:rPr>
          <w:i/>
          <w:iCs/>
          <w:sz w:val="22"/>
          <w:szCs w:val="22"/>
        </w:rPr>
        <w:t xml:space="preserve">XA4 + XB4 + XC4 = 60      (punto de venta 4)</w:t>
      </w:r>
    </w:p>
    <w:p>
      <w:pPr>
        <w:spacing w:after="160" w:before="100"/>
        <w:jc w:val="center"/>
      </w:pPr>
      <w:r>
        <w:rPr>
          <w:i/>
          <w:iCs/>
          <w:sz w:val="22"/>
          <w:szCs w:val="22"/>
        </w:rPr>
        <w:t xml:space="preserve">XA5 + XB5 + XC5 = 100     (punto de venta 5)</w:t>
      </w:r>
    </w:p>
    <w:p>
      <w:pPr>
        <w:pStyle w:val="Heading3"/>
        <w:spacing w:after="100" w:before="200"/>
      </w:pPr>
      <w:r>
        <w:rPr>
          <w:b/>
          <w:bCs/>
          <w:i/>
          <w:iCs/>
          <w:sz w:val="22"/>
          <w:szCs w:val="22"/>
        </w:rPr>
        <w:t xml:space="preserve">Restricción de no negatividad</w:t>
      </w:r>
    </w:p>
    <w:p>
      <w:pPr>
        <w:spacing w:after="160" w:before="100"/>
        <w:jc w:val="center"/>
      </w:pPr>
      <w:r>
        <w:rPr>
          <w:i/>
          <w:iCs/>
          <w:sz w:val="22"/>
          <w:szCs w:val="22"/>
        </w:rPr>
        <w:t xml:space="preserve">Xij ≥ 0   para todo i, j</w:t>
      </w:r>
    </w:p>
    <w:p>
      <w:pPr>
        <w:spacing w:after="160" w:line="276"/>
        <w:jc w:val="both"/>
      </w:pPr>
      <w:r>
        <w:rPr>
          <w:sz w:val="22"/>
          <w:szCs w:val="22"/>
        </w:rPr>
        <w:t xml:space="preserve">Nota: dado que la oferta total es igual a la demanda total (450 = 450), las restricciones de oferta también se cumplen con igualdad en la solución óptima, es decir, toda la disponibilidad de los tres centros será utilizada.</w:t>
      </w:r>
    </w:p>
    <w:p>
      <w:pPr>
        <w:pStyle w:val="Heading2"/>
        <w:spacing w:after="140" w:before="280"/>
      </w:pPr>
      <w:r>
        <w:rPr>
          <w:b/>
          <w:bCs/>
          <w:color w:val="1F3864"/>
          <w:sz w:val="24"/>
          <w:szCs w:val="24"/>
        </w:rPr>
        <w:t xml:space="preserve">3.4 Modelo completo</w:t>
      </w:r>
    </w:p>
    <w:p>
      <w:pPr>
        <w:spacing w:after="160" w:line="276"/>
        <w:jc w:val="both"/>
      </w:pPr>
      <w:r>
        <w:rPr>
          <w:sz w:val="22"/>
          <w:szCs w:val="22"/>
        </w:rPr>
        <w:t xml:space="preserve">En forma compacta, el modelo de programación lineal queda expresado como:</w:t>
      </w:r>
    </w:p>
    <w:p>
      <w:pPr>
        <w:spacing w:after="160" w:before="100"/>
        <w:jc w:val="center"/>
      </w:pPr>
      <w:r>
        <w:rPr>
          <w:i/>
          <w:iCs/>
          <w:sz w:val="22"/>
          <w:szCs w:val="22"/>
        </w:rPr>
        <w:t xml:space="preserve">Min Z = Σi Σj cij · Xij ,   i ∈ {A,B,C},  j ∈ {1,...,5}</w:t>
      </w:r>
    </w:p>
    <w:p>
      <w:pPr>
        <w:spacing w:after="160" w:before="100"/>
        <w:jc w:val="center"/>
      </w:pPr>
      <w:r>
        <w:rPr>
          <w:i/>
          <w:iCs/>
          <w:sz w:val="22"/>
          <w:szCs w:val="22"/>
        </w:rPr>
        <w:t xml:space="preserve">s.a.   Σj Xij = Si   (oferta de cada centro i)</w:t>
      </w:r>
    </w:p>
    <w:p>
      <w:pPr>
        <w:spacing w:after="160" w:before="100"/>
        <w:jc w:val="center"/>
      </w:pPr>
      <w:r>
        <w:rPr>
          <w:i/>
          <w:iCs/>
          <w:sz w:val="22"/>
          <w:szCs w:val="22"/>
        </w:rPr>
        <w:t xml:space="preserve">        Σi Xij = Dj   (demanda de cada punto j)</w:t>
      </w:r>
    </w:p>
    <w:p>
      <w:pPr>
        <w:spacing w:after="160" w:before="100"/>
        <w:jc w:val="center"/>
      </w:pPr>
      <w:r>
        <w:rPr>
          <w:i/>
          <w:iCs/>
          <w:sz w:val="22"/>
          <w:szCs w:val="22"/>
        </w:rPr>
        <w:t xml:space="preserve">        Xij ≥ 0   para todo i, j</w:t>
      </w:r>
    </w:p>
    <w:p>
      <w:pPr>
        <w:spacing w:after="160" w:line="276"/>
        <w:jc w:val="both"/>
      </w:pPr>
      <w:r>
        <w:rPr>
          <w:sz w:val="22"/>
          <w:szCs w:val="22"/>
        </w:rPr>
        <w:t xml:space="preserve">donde cij es el costo unitario de transporte del centro i al punto j (tabla 3), Si es la disponibilidad del centro i (tabla 1) y Dj es la demanda del punto j (tabla 2). Este modelo tiene 15 variables de decisión, 3 restricciones de oferta y 5 restricciones de demanda (8 restricciones estructurales en total, una de ellas redundante por el balance oferta-demanda, por lo que el número de variables básicas de una solución no degenerada es m + n − 1 = 3 + 5 − 1 = 7).</w:t>
      </w:r>
    </w:p>
    <w:p>
      <w:pPr>
        <w:spacing w:after="160" w:line="276"/>
        <w:jc w:val="both"/>
      </w:pPr>
      <w:r>
        <w:rPr>
          <w:sz w:val="22"/>
          <w:szCs w:val="22"/>
        </w:rPr>
        <w:t xml:space="preserve">Puede parecer mucha simbología junta, pero en el fondo el modelo dice algo bastante simple: repartir lo que hay en A, B y C entre los cinco puntos de venta, gastando lo menos posible en llevarlo, sin dejar a nadie sin su pedido ni mandar de un centro más de lo que tiene disponible. Todo lo demás son las cuentas para lograrlo.</w:t>
      </w:r>
    </w:p>
    <w:p>
      <w:pPr>
        <w:pBdr>
          <w:top w:val="single" w:color="BFBFBF" w:sz="4" w:space="4"/>
        </w:pBdr>
        <w:spacing w:after="60" w:before="200"/>
      </w:pPr>
      <w:r>
        <w:rPr>
          <w:b/>
          <w:bCs/>
          <w:i/>
          <w:iCs/>
          <w:color w:val="555555"/>
          <w:sz w:val="18"/>
          <w:szCs w:val="18"/>
        </w:rPr>
        <w:t xml:space="preserve">Fuente(s) de esta sección (formato APA):</w:t>
      </w:r>
    </w:p>
    <w:p>
      <w:pPr>
        <w:spacing w:after="60"/>
        <w:ind w:left="460" w:hanging="260"/>
      </w:pPr>
      <w:r>
        <w:rPr>
          <w:color w:val="555555"/>
          <w:sz w:val="18"/>
          <w:szCs w:val="18"/>
        </w:rPr>
        <w:t xml:space="preserve">• </w:t>
      </w:r>
      <w:r>
        <w:rPr>
          <w:i w:val="false"/>
          <w:iCs w:val="false"/>
          <w:color w:val="555555"/>
          <w:sz w:val="18"/>
          <w:szCs w:val="18"/>
        </w:rPr>
        <w:t xml:space="preserve">Winston, W. L. (2004). </w:t>
      </w:r>
      <w:r>
        <w:rPr>
          <w:i/>
          <w:iCs/>
          <w:color w:val="555555"/>
          <w:sz w:val="18"/>
          <w:szCs w:val="18"/>
        </w:rPr>
        <w:t xml:space="preserve">Operations research: Applications and algorithms</w:t>
      </w:r>
      <w:r>
        <w:rPr>
          <w:i w:val="false"/>
          <w:iCs w:val="false"/>
          <w:color w:val="555555"/>
          <w:sz w:val="18"/>
          <w:szCs w:val="18"/>
        </w:rPr>
        <w:t xml:space="preserve"> (4.ª ed.). Cengage Learning.</w:t>
      </w:r>
    </w:p>
    <w:p>
      <w:pPr>
        <w:spacing w:after="0"/>
        <w:ind w:left="460" w:hanging="260"/>
      </w:pPr>
      <w:r>
        <w:rPr>
          <w:color w:val="555555"/>
          <w:sz w:val="18"/>
          <w:szCs w:val="18"/>
        </w:rPr>
        <w:t xml:space="preserve">• </w:t>
      </w:r>
      <w:r>
        <w:rPr>
          <w:i w:val="false"/>
          <w:iCs w:val="false"/>
          <w:color w:val="555555"/>
          <w:sz w:val="18"/>
          <w:szCs w:val="18"/>
        </w:rPr>
        <w:t xml:space="preserve">Hillier, F. S., &amp; Lieberman, G. J. (2015). </w:t>
      </w:r>
      <w:r>
        <w:rPr>
          <w:i/>
          <w:iCs/>
          <w:color w:val="555555"/>
          <w:sz w:val="18"/>
          <w:szCs w:val="18"/>
        </w:rPr>
        <w:t xml:space="preserve">Introduction to operations research</w:t>
      </w:r>
      <w:r>
        <w:rPr>
          <w:i w:val="false"/>
          <w:iCs w:val="false"/>
          <w:color w:val="555555"/>
          <w:sz w:val="18"/>
          <w:szCs w:val="18"/>
        </w:rPr>
        <w:t xml:space="preserve"> (10.ª ed.). McGraw-Hill Education.</w:t>
      </w:r>
    </w:p>
    <w:p>
      <w:pPr>
        <w:pStyle w:val="Heading1"/>
        <w:pBdr>
          <w:bottom w:val="single" w:color="1F3864" w:sz="8" w:space="4"/>
        </w:pBdr>
        <w:spacing w:after="200" w:before="360"/>
      </w:pPr>
      <w:r>
        <w:rPr>
          <w:b/>
          <w:bCs/>
          <w:color w:val="1F3864"/>
          <w:sz w:val="28"/>
          <w:szCs w:val="28"/>
        </w:rPr>
        <w:t xml:space="preserve">4. Resolución del modelo</w:t>
      </w:r>
    </w:p>
    <w:p>
      <w:pPr>
        <w:pStyle w:val="Heading2"/>
        <w:spacing w:after="140" w:before="280"/>
      </w:pPr>
      <w:r>
        <w:rPr>
          <w:b/>
          <w:bCs/>
          <w:color w:val="1F3864"/>
          <w:sz w:val="24"/>
          <w:szCs w:val="24"/>
        </w:rPr>
        <w:t xml:space="preserve">4.1 Verificación del balance oferta-demanda</w:t>
      </w:r>
    </w:p>
    <w:p>
      <w:pPr>
        <w:spacing w:after="160" w:line="276"/>
        <w:jc w:val="both"/>
      </w:pPr>
      <w:r>
        <w:rPr>
          <w:sz w:val="22"/>
          <w:szCs w:val="22"/>
        </w:rPr>
        <w:t xml:space="preserve">Como se estableció en la sección 2.2, la oferta total (450) es igual a la demanda total (450), por lo que el problema está balanceado y toda la disponibilidad de los centros será asignada a los puntos de venta en la solución óptima.</w:t>
      </w:r>
    </w:p>
    <w:p>
      <w:pPr>
        <w:pStyle w:val="Heading2"/>
        <w:spacing w:after="140" w:before="280"/>
      </w:pPr>
      <w:r>
        <w:rPr>
          <w:b/>
          <w:bCs/>
          <w:color w:val="1F3864"/>
          <w:sz w:val="24"/>
          <w:szCs w:val="24"/>
        </w:rPr>
        <w:t xml:space="preserve">4.2 Solución factible inicial: método de la esquina noroeste</w:t>
      </w:r>
    </w:p>
    <w:p>
      <w:pPr>
        <w:spacing w:after="160" w:line="276"/>
        <w:jc w:val="both"/>
      </w:pPr>
      <w:r>
        <w:rPr>
          <w:sz w:val="22"/>
          <w:szCs w:val="22"/>
        </w:rPr>
        <w:t xml:space="preserve">Para obtener una solución factible básica inicial se aplica el método de la esquina noroeste (Taha, 2017), asignando en cada paso la mayor cantidad posible a la celda superior izquierda disponible de la tabla, hasta agotar la fila o la columna correspondiente:</w:t>
      </w:r>
    </w:p>
    <w:p>
      <w:pPr>
        <w:pStyle w:val="ListParagraph"/>
        <w:numPr>
          <w:ilvl w:val="0"/>
          <w:numId w:val="3"/>
        </w:numPr>
        <w:spacing w:after="80"/>
      </w:pPr>
      <w:r>
        <w:rPr>
          <w:sz w:val="22"/>
          <w:szCs w:val="22"/>
        </w:rPr>
        <w:t xml:space="preserve">Se asigna X_A1 = mín(100, 80) = 80. Se agota la demanda del punto 1; al centro A le quedan 20 unidades disponibles.</w:t>
      </w:r>
    </w:p>
    <w:p>
      <w:pPr>
        <w:pStyle w:val="ListParagraph"/>
        <w:numPr>
          <w:ilvl w:val="0"/>
          <w:numId w:val="3"/>
        </w:numPr>
        <w:spacing w:after="80"/>
      </w:pPr>
      <w:r>
        <w:rPr>
          <w:sz w:val="22"/>
          <w:szCs w:val="22"/>
        </w:rPr>
        <w:t xml:space="preserve">Se asigna X_A2 = mín(20, 90) = 20. Se agota la disponibilidad de A; al punto 2 le faltan 70 unidades por recibir.</w:t>
      </w:r>
    </w:p>
    <w:p>
      <w:pPr>
        <w:pStyle w:val="ListParagraph"/>
        <w:numPr>
          <w:ilvl w:val="0"/>
          <w:numId w:val="3"/>
        </w:numPr>
        <w:spacing w:after="80"/>
      </w:pPr>
      <w:r>
        <w:rPr>
          <w:sz w:val="22"/>
          <w:szCs w:val="22"/>
        </w:rPr>
        <w:t xml:space="preserve">Se asigna X_B2 = mín(150, 70) = 70. Se agota la demanda del punto 2; a B le quedan 80 unidades disponibles.</w:t>
      </w:r>
    </w:p>
    <w:p>
      <w:pPr>
        <w:pStyle w:val="ListParagraph"/>
        <w:numPr>
          <w:ilvl w:val="0"/>
          <w:numId w:val="3"/>
        </w:numPr>
        <w:spacing w:after="80"/>
      </w:pPr>
      <w:r>
        <w:rPr>
          <w:sz w:val="22"/>
          <w:szCs w:val="22"/>
        </w:rPr>
        <w:t xml:space="preserve">Se asigna X_B3 = mín(80, 120) = 80. Se agota la disponibilidad de B; al punto 3 le faltan 40 unidades por recibir.</w:t>
      </w:r>
    </w:p>
    <w:p>
      <w:pPr>
        <w:pStyle w:val="ListParagraph"/>
        <w:numPr>
          <w:ilvl w:val="0"/>
          <w:numId w:val="3"/>
        </w:numPr>
        <w:spacing w:after="80"/>
      </w:pPr>
      <w:r>
        <w:rPr>
          <w:sz w:val="22"/>
          <w:szCs w:val="22"/>
        </w:rPr>
        <w:t xml:space="preserve">Se asigna X_C3 = mín(200, 40) = 40. Se agota la demanda del punto 3; a C le quedan 160 unidades disponibles.</w:t>
      </w:r>
    </w:p>
    <w:p>
      <w:pPr>
        <w:pStyle w:val="ListParagraph"/>
        <w:numPr>
          <w:ilvl w:val="0"/>
          <w:numId w:val="3"/>
        </w:numPr>
        <w:spacing w:after="80"/>
      </w:pPr>
      <w:r>
        <w:rPr>
          <w:sz w:val="22"/>
          <w:szCs w:val="22"/>
        </w:rPr>
        <w:t xml:space="preserve">Se asigna X_C4 = mín(160, 60) = 60. Se agota la demanda del punto 4; a C le quedan 100 unidades disponibles.</w:t>
      </w:r>
    </w:p>
    <w:p>
      <w:pPr>
        <w:pStyle w:val="ListParagraph"/>
        <w:numPr>
          <w:ilvl w:val="0"/>
          <w:numId w:val="3"/>
        </w:numPr>
        <w:spacing w:after="80"/>
      </w:pPr>
      <w:r>
        <w:rPr>
          <w:sz w:val="22"/>
          <w:szCs w:val="22"/>
        </w:rPr>
        <w:t xml:space="preserve">Se asigna X_C5 = mín(100, 100) = 100. Se agotan simultáneamente la disponibilidad de C y la demanda del punto 5.</w:t>
      </w:r>
    </w:p>
    <w:p>
      <w:pPr>
        <w:spacing w:after="160" w:line="276"/>
        <w:jc w:val="both"/>
      </w:pPr>
      <w:r>
        <w:rPr>
          <w:sz w:val="22"/>
          <w:szCs w:val="22"/>
        </w:rPr>
        <w:t xml:space="preserve">La tabla resultante es la siguiente (las celdas sin asignación se marcan con un guion):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200"/>
        <w:gridCol w:w="1200"/>
        <w:gridCol w:w="1200"/>
        <w:gridCol w:w="1200"/>
        <w:gridCol w:w="1200"/>
        <w:gridCol w:w="1200"/>
      </w:tblGrid>
      <w:tr>
        <w:trPr>
          <w:cantSplit/>
          <w:tblHeader/>
        </w:trPr>
        <w:tc>
          <w:tcPr>
            <w:tcW w:type="dxa" w:w="2160"/>
            <w:shd w:fill="1F3864" w:color="auto" w:val="clear"/>
            <w:tcMar>
              <w:top w:type="dxa" w:w="80"/>
              <w:left w:type="dxa" w:w="100"/>
              <w:bottom w:type="dxa" w:w="80"/>
              <w:right w:type="dxa" w:w="100"/>
            </w:tcMar>
            <w:vAlign w:val="center"/>
          </w:tcPr>
          <w:p>
            <w:pPr>
              <w:jc w:val="center"/>
            </w:pPr>
            <w:r>
              <w:rPr>
                <w:b/>
                <w:bCs/>
                <w:color w:val="FFFFFF"/>
                <w:sz w:val="20"/>
                <w:szCs w:val="20"/>
              </w:rPr>
              <w:t xml:space="preserve">Centro \ Punto</w:t>
            </w:r>
          </w:p>
        </w:tc>
        <w:tc>
          <w:tcPr>
            <w:tcW w:type="dxa" w:w="1200"/>
            <w:shd w:fill="1F3864" w:color="auto" w:val="clear"/>
            <w:tcMar>
              <w:top w:type="dxa" w:w="80"/>
              <w:left w:type="dxa" w:w="100"/>
              <w:bottom w:type="dxa" w:w="80"/>
              <w:right w:type="dxa" w:w="100"/>
            </w:tcMar>
            <w:vAlign w:val="center"/>
          </w:tcPr>
          <w:p>
            <w:pPr>
              <w:jc w:val="center"/>
            </w:pPr>
            <w:r>
              <w:rPr>
                <w:b/>
                <w:bCs/>
                <w:color w:val="FFFFFF"/>
                <w:sz w:val="20"/>
                <w:szCs w:val="20"/>
              </w:rPr>
              <w:t xml:space="preserve">1</w:t>
            </w:r>
          </w:p>
        </w:tc>
        <w:tc>
          <w:tcPr>
            <w:tcW w:type="dxa" w:w="1200"/>
            <w:shd w:fill="1F3864" w:color="auto" w:val="clear"/>
            <w:tcMar>
              <w:top w:type="dxa" w:w="80"/>
              <w:left w:type="dxa" w:w="100"/>
              <w:bottom w:type="dxa" w:w="80"/>
              <w:right w:type="dxa" w:w="100"/>
            </w:tcMar>
            <w:vAlign w:val="center"/>
          </w:tcPr>
          <w:p>
            <w:pPr>
              <w:jc w:val="center"/>
            </w:pPr>
            <w:r>
              <w:rPr>
                <w:b/>
                <w:bCs/>
                <w:color w:val="FFFFFF"/>
                <w:sz w:val="20"/>
                <w:szCs w:val="20"/>
              </w:rPr>
              <w:t xml:space="preserve">2</w:t>
            </w:r>
          </w:p>
        </w:tc>
        <w:tc>
          <w:tcPr>
            <w:tcW w:type="dxa" w:w="1200"/>
            <w:shd w:fill="1F3864" w:color="auto" w:val="clear"/>
            <w:tcMar>
              <w:top w:type="dxa" w:w="80"/>
              <w:left w:type="dxa" w:w="100"/>
              <w:bottom w:type="dxa" w:w="80"/>
              <w:right w:type="dxa" w:w="100"/>
            </w:tcMar>
            <w:vAlign w:val="center"/>
          </w:tcPr>
          <w:p>
            <w:pPr>
              <w:jc w:val="center"/>
            </w:pPr>
            <w:r>
              <w:rPr>
                <w:b/>
                <w:bCs/>
                <w:color w:val="FFFFFF"/>
                <w:sz w:val="20"/>
                <w:szCs w:val="20"/>
              </w:rPr>
              <w:t xml:space="preserve">3</w:t>
            </w:r>
          </w:p>
        </w:tc>
        <w:tc>
          <w:tcPr>
            <w:tcW w:type="dxa" w:w="1200"/>
            <w:shd w:fill="1F3864" w:color="auto" w:val="clear"/>
            <w:tcMar>
              <w:top w:type="dxa" w:w="80"/>
              <w:left w:type="dxa" w:w="100"/>
              <w:bottom w:type="dxa" w:w="80"/>
              <w:right w:type="dxa" w:w="100"/>
            </w:tcMar>
            <w:vAlign w:val="center"/>
          </w:tcPr>
          <w:p>
            <w:pPr>
              <w:jc w:val="center"/>
            </w:pPr>
            <w:r>
              <w:rPr>
                <w:b/>
                <w:bCs/>
                <w:color w:val="FFFFFF"/>
                <w:sz w:val="20"/>
                <w:szCs w:val="20"/>
              </w:rPr>
              <w:t xml:space="preserve">4</w:t>
            </w:r>
          </w:p>
        </w:tc>
        <w:tc>
          <w:tcPr>
            <w:tcW w:type="dxa" w:w="1200"/>
            <w:shd w:fill="1F3864" w:color="auto" w:val="clear"/>
            <w:tcMar>
              <w:top w:type="dxa" w:w="80"/>
              <w:left w:type="dxa" w:w="100"/>
              <w:bottom w:type="dxa" w:w="80"/>
              <w:right w:type="dxa" w:w="100"/>
            </w:tcMar>
            <w:vAlign w:val="center"/>
          </w:tcPr>
          <w:p>
            <w:pPr>
              <w:jc w:val="center"/>
            </w:pPr>
            <w:r>
              <w:rPr>
                <w:b/>
                <w:bCs/>
                <w:color w:val="FFFFFF"/>
                <w:sz w:val="20"/>
                <w:szCs w:val="20"/>
              </w:rPr>
              <w:t xml:space="preserve">5</w:t>
            </w:r>
          </w:p>
        </w:tc>
        <w:tc>
          <w:tcPr>
            <w:tcW w:type="dxa" w:w="1200"/>
            <w:shd w:fill="1F3864" w:color="auto" w:val="clear"/>
            <w:tcMar>
              <w:top w:type="dxa" w:w="80"/>
              <w:left w:type="dxa" w:w="100"/>
              <w:bottom w:type="dxa" w:w="80"/>
              <w:right w:type="dxa" w:w="100"/>
            </w:tcMar>
            <w:vAlign w:val="center"/>
          </w:tcPr>
          <w:p>
            <w:pPr>
              <w:jc w:val="center"/>
            </w:pPr>
            <w:r>
              <w:rPr>
                <w:b/>
                <w:bCs/>
                <w:color w:val="FFFFFF"/>
                <w:sz w:val="20"/>
                <w:szCs w:val="20"/>
              </w:rPr>
              <w:t xml:space="preserve">Oferta</w:t>
            </w:r>
          </w:p>
        </w:tc>
      </w:tr>
      <w:tr>
        <w:trPr>
          <w:cantSplit/>
        </w:trPr>
        <w:tc>
          <w:tcPr>
            <w:tcW w:type="dxa" w:w="216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A</w:t>
            </w:r>
          </w:p>
        </w:tc>
        <w:tc>
          <w:tcPr>
            <w:tcW w:type="dxa" w:w="120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80</w:t>
            </w:r>
          </w:p>
        </w:tc>
        <w:tc>
          <w:tcPr>
            <w:tcW w:type="dxa" w:w="120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20</w:t>
            </w:r>
          </w:p>
        </w:tc>
        <w:tc>
          <w:tcPr>
            <w:tcW w:type="dxa" w:w="120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w:t>
            </w:r>
          </w:p>
        </w:tc>
        <w:tc>
          <w:tcPr>
            <w:tcW w:type="dxa" w:w="120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w:t>
            </w:r>
          </w:p>
        </w:tc>
        <w:tc>
          <w:tcPr>
            <w:tcW w:type="dxa" w:w="120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w:t>
            </w:r>
          </w:p>
        </w:tc>
        <w:tc>
          <w:tcPr>
            <w:tcW w:type="dxa" w:w="120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100</w:t>
            </w:r>
          </w:p>
        </w:tc>
      </w:tr>
      <w:tr>
        <w:trPr>
          <w:cantSplit/>
        </w:trPr>
        <w:tc>
          <w:tcPr>
            <w:tcW w:type="dxa" w:w="2160"/>
            <w:shd w:fill="F2F2F2" w:color="auto" w:val="clear"/>
            <w:tcMar>
              <w:top w:type="dxa" w:w="80"/>
              <w:left w:type="dxa" w:w="100"/>
              <w:bottom w:type="dxa" w:w="80"/>
              <w:right w:type="dxa" w:w="100"/>
            </w:tcMar>
            <w:vAlign w:val="center"/>
          </w:tcPr>
          <w:p>
            <w:pPr>
              <w:jc w:val="center"/>
            </w:pPr>
            <w:r>
              <w:rPr>
                <w:b w:val="false"/>
                <w:bCs w:val="false"/>
                <w:color w:val="000000"/>
                <w:sz w:val="20"/>
                <w:szCs w:val="20"/>
              </w:rPr>
              <w:t xml:space="preserve">B</w:t>
            </w:r>
          </w:p>
        </w:tc>
        <w:tc>
          <w:tcPr>
            <w:tcW w:type="dxa" w:w="1200"/>
            <w:shd w:fill="F2F2F2" w:color="auto" w:val="clear"/>
            <w:tcMar>
              <w:top w:type="dxa" w:w="80"/>
              <w:left w:type="dxa" w:w="100"/>
              <w:bottom w:type="dxa" w:w="80"/>
              <w:right w:type="dxa" w:w="100"/>
            </w:tcMar>
            <w:vAlign w:val="center"/>
          </w:tcPr>
          <w:p>
            <w:pPr>
              <w:jc w:val="center"/>
            </w:pPr>
            <w:r>
              <w:rPr>
                <w:b w:val="false"/>
                <w:bCs w:val="false"/>
                <w:color w:val="000000"/>
                <w:sz w:val="20"/>
                <w:szCs w:val="20"/>
              </w:rPr>
              <w:t xml:space="preserve">-</w:t>
            </w:r>
          </w:p>
        </w:tc>
        <w:tc>
          <w:tcPr>
            <w:tcW w:type="dxa" w:w="1200"/>
            <w:shd w:fill="F2F2F2" w:color="auto" w:val="clear"/>
            <w:tcMar>
              <w:top w:type="dxa" w:w="80"/>
              <w:left w:type="dxa" w:w="100"/>
              <w:bottom w:type="dxa" w:w="80"/>
              <w:right w:type="dxa" w:w="100"/>
            </w:tcMar>
            <w:vAlign w:val="center"/>
          </w:tcPr>
          <w:p>
            <w:pPr>
              <w:jc w:val="center"/>
            </w:pPr>
            <w:r>
              <w:rPr>
                <w:b w:val="false"/>
                <w:bCs w:val="false"/>
                <w:color w:val="000000"/>
                <w:sz w:val="20"/>
                <w:szCs w:val="20"/>
              </w:rPr>
              <w:t xml:space="preserve">70</w:t>
            </w:r>
          </w:p>
        </w:tc>
        <w:tc>
          <w:tcPr>
            <w:tcW w:type="dxa" w:w="1200"/>
            <w:shd w:fill="F2F2F2" w:color="auto" w:val="clear"/>
            <w:tcMar>
              <w:top w:type="dxa" w:w="80"/>
              <w:left w:type="dxa" w:w="100"/>
              <w:bottom w:type="dxa" w:w="80"/>
              <w:right w:type="dxa" w:w="100"/>
            </w:tcMar>
            <w:vAlign w:val="center"/>
          </w:tcPr>
          <w:p>
            <w:pPr>
              <w:jc w:val="center"/>
            </w:pPr>
            <w:r>
              <w:rPr>
                <w:b w:val="false"/>
                <w:bCs w:val="false"/>
                <w:color w:val="000000"/>
                <w:sz w:val="20"/>
                <w:szCs w:val="20"/>
              </w:rPr>
              <w:t xml:space="preserve">80</w:t>
            </w:r>
          </w:p>
        </w:tc>
        <w:tc>
          <w:tcPr>
            <w:tcW w:type="dxa" w:w="1200"/>
            <w:shd w:fill="F2F2F2" w:color="auto" w:val="clear"/>
            <w:tcMar>
              <w:top w:type="dxa" w:w="80"/>
              <w:left w:type="dxa" w:w="100"/>
              <w:bottom w:type="dxa" w:w="80"/>
              <w:right w:type="dxa" w:w="100"/>
            </w:tcMar>
            <w:vAlign w:val="center"/>
          </w:tcPr>
          <w:p>
            <w:pPr>
              <w:jc w:val="center"/>
            </w:pPr>
            <w:r>
              <w:rPr>
                <w:b w:val="false"/>
                <w:bCs w:val="false"/>
                <w:color w:val="000000"/>
                <w:sz w:val="20"/>
                <w:szCs w:val="20"/>
              </w:rPr>
              <w:t xml:space="preserve">-</w:t>
            </w:r>
          </w:p>
        </w:tc>
        <w:tc>
          <w:tcPr>
            <w:tcW w:type="dxa" w:w="1200"/>
            <w:shd w:fill="F2F2F2" w:color="auto" w:val="clear"/>
            <w:tcMar>
              <w:top w:type="dxa" w:w="80"/>
              <w:left w:type="dxa" w:w="100"/>
              <w:bottom w:type="dxa" w:w="80"/>
              <w:right w:type="dxa" w:w="100"/>
            </w:tcMar>
            <w:vAlign w:val="center"/>
          </w:tcPr>
          <w:p>
            <w:pPr>
              <w:jc w:val="center"/>
            </w:pPr>
            <w:r>
              <w:rPr>
                <w:b w:val="false"/>
                <w:bCs w:val="false"/>
                <w:color w:val="000000"/>
                <w:sz w:val="20"/>
                <w:szCs w:val="20"/>
              </w:rPr>
              <w:t xml:space="preserve">-</w:t>
            </w:r>
          </w:p>
        </w:tc>
        <w:tc>
          <w:tcPr>
            <w:tcW w:type="dxa" w:w="1200"/>
            <w:shd w:fill="F2F2F2" w:color="auto" w:val="clear"/>
            <w:tcMar>
              <w:top w:type="dxa" w:w="80"/>
              <w:left w:type="dxa" w:w="100"/>
              <w:bottom w:type="dxa" w:w="80"/>
              <w:right w:type="dxa" w:w="100"/>
            </w:tcMar>
            <w:vAlign w:val="center"/>
          </w:tcPr>
          <w:p>
            <w:pPr>
              <w:jc w:val="center"/>
            </w:pPr>
            <w:r>
              <w:rPr>
                <w:b w:val="false"/>
                <w:bCs w:val="false"/>
                <w:color w:val="000000"/>
                <w:sz w:val="20"/>
                <w:szCs w:val="20"/>
              </w:rPr>
              <w:t xml:space="preserve">150</w:t>
            </w:r>
          </w:p>
        </w:tc>
      </w:tr>
      <w:tr>
        <w:trPr>
          <w:cantSplit/>
        </w:trPr>
        <w:tc>
          <w:tcPr>
            <w:tcW w:type="dxa" w:w="216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C</w:t>
            </w:r>
          </w:p>
        </w:tc>
        <w:tc>
          <w:tcPr>
            <w:tcW w:type="dxa" w:w="120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w:t>
            </w:r>
          </w:p>
        </w:tc>
        <w:tc>
          <w:tcPr>
            <w:tcW w:type="dxa" w:w="120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w:t>
            </w:r>
          </w:p>
        </w:tc>
        <w:tc>
          <w:tcPr>
            <w:tcW w:type="dxa" w:w="120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40</w:t>
            </w:r>
          </w:p>
        </w:tc>
        <w:tc>
          <w:tcPr>
            <w:tcW w:type="dxa" w:w="120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60</w:t>
            </w:r>
          </w:p>
        </w:tc>
        <w:tc>
          <w:tcPr>
            <w:tcW w:type="dxa" w:w="120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100</w:t>
            </w:r>
          </w:p>
        </w:tc>
        <w:tc>
          <w:tcPr>
            <w:tcW w:type="dxa" w:w="120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200</w:t>
            </w:r>
          </w:p>
        </w:tc>
      </w:tr>
      <w:tr>
        <w:trPr>
          <w:cantSplit/>
        </w:trPr>
        <w:tc>
          <w:tcPr>
            <w:tcW w:type="dxa" w:w="2160"/>
            <w:shd w:fill="F2F2F2" w:color="auto" w:val="clear"/>
            <w:tcMar>
              <w:top w:type="dxa" w:w="80"/>
              <w:left w:type="dxa" w:w="100"/>
              <w:bottom w:type="dxa" w:w="80"/>
              <w:right w:type="dxa" w:w="100"/>
            </w:tcMar>
            <w:vAlign w:val="center"/>
          </w:tcPr>
          <w:p>
            <w:pPr>
              <w:jc w:val="center"/>
            </w:pPr>
            <w:r>
              <w:rPr>
                <w:b w:val="false"/>
                <w:bCs w:val="false"/>
                <w:color w:val="000000"/>
                <w:sz w:val="20"/>
                <w:szCs w:val="20"/>
              </w:rPr>
              <w:t xml:space="preserve">Demanda</w:t>
            </w:r>
          </w:p>
        </w:tc>
        <w:tc>
          <w:tcPr>
            <w:tcW w:type="dxa" w:w="1200"/>
            <w:shd w:fill="F2F2F2" w:color="auto" w:val="clear"/>
            <w:tcMar>
              <w:top w:type="dxa" w:w="80"/>
              <w:left w:type="dxa" w:w="100"/>
              <w:bottom w:type="dxa" w:w="80"/>
              <w:right w:type="dxa" w:w="100"/>
            </w:tcMar>
            <w:vAlign w:val="center"/>
          </w:tcPr>
          <w:p>
            <w:pPr>
              <w:jc w:val="center"/>
            </w:pPr>
            <w:r>
              <w:rPr>
                <w:b w:val="false"/>
                <w:bCs w:val="false"/>
                <w:color w:val="000000"/>
                <w:sz w:val="20"/>
                <w:szCs w:val="20"/>
              </w:rPr>
              <w:t xml:space="preserve">80</w:t>
            </w:r>
          </w:p>
        </w:tc>
        <w:tc>
          <w:tcPr>
            <w:tcW w:type="dxa" w:w="1200"/>
            <w:shd w:fill="F2F2F2" w:color="auto" w:val="clear"/>
            <w:tcMar>
              <w:top w:type="dxa" w:w="80"/>
              <w:left w:type="dxa" w:w="100"/>
              <w:bottom w:type="dxa" w:w="80"/>
              <w:right w:type="dxa" w:w="100"/>
            </w:tcMar>
            <w:vAlign w:val="center"/>
          </w:tcPr>
          <w:p>
            <w:pPr>
              <w:jc w:val="center"/>
            </w:pPr>
            <w:r>
              <w:rPr>
                <w:b w:val="false"/>
                <w:bCs w:val="false"/>
                <w:color w:val="000000"/>
                <w:sz w:val="20"/>
                <w:szCs w:val="20"/>
              </w:rPr>
              <w:t xml:space="preserve">90</w:t>
            </w:r>
          </w:p>
        </w:tc>
        <w:tc>
          <w:tcPr>
            <w:tcW w:type="dxa" w:w="1200"/>
            <w:shd w:fill="F2F2F2" w:color="auto" w:val="clear"/>
            <w:tcMar>
              <w:top w:type="dxa" w:w="80"/>
              <w:left w:type="dxa" w:w="100"/>
              <w:bottom w:type="dxa" w:w="80"/>
              <w:right w:type="dxa" w:w="100"/>
            </w:tcMar>
            <w:vAlign w:val="center"/>
          </w:tcPr>
          <w:p>
            <w:pPr>
              <w:jc w:val="center"/>
            </w:pPr>
            <w:r>
              <w:rPr>
                <w:b w:val="false"/>
                <w:bCs w:val="false"/>
                <w:color w:val="000000"/>
                <w:sz w:val="20"/>
                <w:szCs w:val="20"/>
              </w:rPr>
              <w:t xml:space="preserve">120</w:t>
            </w:r>
          </w:p>
        </w:tc>
        <w:tc>
          <w:tcPr>
            <w:tcW w:type="dxa" w:w="1200"/>
            <w:shd w:fill="F2F2F2" w:color="auto" w:val="clear"/>
            <w:tcMar>
              <w:top w:type="dxa" w:w="80"/>
              <w:left w:type="dxa" w:w="100"/>
              <w:bottom w:type="dxa" w:w="80"/>
              <w:right w:type="dxa" w:w="100"/>
            </w:tcMar>
            <w:vAlign w:val="center"/>
          </w:tcPr>
          <w:p>
            <w:pPr>
              <w:jc w:val="center"/>
            </w:pPr>
            <w:r>
              <w:rPr>
                <w:b w:val="false"/>
                <w:bCs w:val="false"/>
                <w:color w:val="000000"/>
                <w:sz w:val="20"/>
                <w:szCs w:val="20"/>
              </w:rPr>
              <w:t xml:space="preserve">60</w:t>
            </w:r>
          </w:p>
        </w:tc>
        <w:tc>
          <w:tcPr>
            <w:tcW w:type="dxa" w:w="1200"/>
            <w:shd w:fill="F2F2F2" w:color="auto" w:val="clear"/>
            <w:tcMar>
              <w:top w:type="dxa" w:w="80"/>
              <w:left w:type="dxa" w:w="100"/>
              <w:bottom w:type="dxa" w:w="80"/>
              <w:right w:type="dxa" w:w="100"/>
            </w:tcMar>
            <w:vAlign w:val="center"/>
          </w:tcPr>
          <w:p>
            <w:pPr>
              <w:jc w:val="center"/>
            </w:pPr>
            <w:r>
              <w:rPr>
                <w:b w:val="false"/>
                <w:bCs w:val="false"/>
                <w:color w:val="000000"/>
                <w:sz w:val="20"/>
                <w:szCs w:val="20"/>
              </w:rPr>
              <w:t xml:space="preserve">100</w:t>
            </w:r>
          </w:p>
        </w:tc>
        <w:tc>
          <w:tcPr>
            <w:tcW w:type="dxa" w:w="1200"/>
            <w:shd w:fill="F2F2F2" w:color="auto" w:val="clear"/>
            <w:tcMar>
              <w:top w:type="dxa" w:w="80"/>
              <w:left w:type="dxa" w:w="100"/>
              <w:bottom w:type="dxa" w:w="80"/>
              <w:right w:type="dxa" w:w="100"/>
            </w:tcMar>
            <w:vAlign w:val="center"/>
          </w:tcPr>
          <w:p>
            <w:pPr>
              <w:jc w:val="center"/>
            </w:pPr>
            <w:r>
              <w:rPr>
                <w:b w:val="false"/>
                <w:bCs w:val="false"/>
                <w:color w:val="000000"/>
                <w:sz w:val="20"/>
                <w:szCs w:val="20"/>
              </w:rPr>
              <w:t xml:space="preserve">450</w:t>
            </w:r>
          </w:p>
        </w:tc>
      </w:tr>
    </w:tbl>
    <w:p>
      <w:pPr>
        <w:spacing w:after="240" w:before="60"/>
        <w:jc w:val="center"/>
      </w:pPr>
      <w:r>
        <w:rPr>
          <w:i/>
          <w:iCs/>
          <w:color w:val="555555"/>
          <w:sz w:val="18"/>
          <w:szCs w:val="18"/>
        </w:rPr>
        <w:t xml:space="preserve">Tabla 4. Solución factible inicial obtenida por el método de la esquina noroeste.</w:t>
      </w:r>
    </w:p>
    <w:p>
      <w:pPr>
        <w:spacing w:after="160" w:line="276"/>
        <w:jc w:val="both"/>
      </w:pPr>
      <w:r>
        <w:rPr>
          <w:sz w:val="22"/>
          <w:szCs w:val="22"/>
        </w:rPr>
        <w:t xml:space="preserve">Esta solución utiliza exactamente 7 celdas básicas (X_A1, X_A2, X_B2, X_B3, X_C3, X_C4, X_C5), que coincide con el número de variables básicas requerido, m + n − 1 = 3 + 5 − 1 = 7. Al no existir degeneración (ninguna variable básica es cero), la solución es apta para aplicar directamente la prueba de optimalidad.</w:t>
      </w:r>
    </w:p>
    <w:p>
      <w:pPr>
        <w:spacing w:after="160" w:line="276"/>
        <w:jc w:val="both"/>
      </w:pPr>
      <w:r>
        <w:rPr>
          <w:sz w:val="22"/>
          <w:szCs w:val="22"/>
        </w:rPr>
        <w:t xml:space="preserve">El costo total de esta solución inicial es:</w:t>
      </w:r>
    </w:p>
    <w:p>
      <w:pPr>
        <w:spacing w:after="160" w:before="100"/>
        <w:jc w:val="center"/>
      </w:pPr>
      <w:r>
        <w:rPr>
          <w:i/>
          <w:iCs/>
          <w:sz w:val="22"/>
          <w:szCs w:val="22"/>
        </w:rPr>
        <w:t xml:space="preserve">Z = 80(4) + 20(6) + 70(7) + 80(9) + 40(10) + 60(12) + 100(14)</w:t>
      </w:r>
    </w:p>
    <w:p>
      <w:pPr>
        <w:spacing w:after="160" w:before="100"/>
        <w:jc w:val="center"/>
      </w:pPr>
      <w:r>
        <w:rPr>
          <w:i/>
          <w:iCs/>
          <w:sz w:val="22"/>
          <w:szCs w:val="22"/>
        </w:rPr>
        <w:t xml:space="preserve">Z = 320 + 120 + 490 + 720 + 400 + 720 + 1400 = 4 170 unidades monetarias</w:t>
      </w:r>
    </w:p>
    <w:p>
      <w:pPr>
        <w:pStyle w:val="Heading2"/>
        <w:spacing w:after="140" w:before="280"/>
      </w:pPr>
      <w:r>
        <w:rPr>
          <w:b/>
          <w:bCs/>
          <w:color w:val="1F3864"/>
          <w:sz w:val="24"/>
          <w:szCs w:val="24"/>
        </w:rPr>
        <w:t xml:space="preserve">4.3 Prueba de optimalidad: método MODI (multiplicadores u, v)</w:t>
      </w:r>
    </w:p>
    <w:p>
      <w:pPr>
        <w:spacing w:after="160" w:line="276"/>
        <w:jc w:val="both"/>
      </w:pPr>
      <w:r>
        <w:rPr>
          <w:sz w:val="22"/>
          <w:szCs w:val="22"/>
        </w:rPr>
        <w:t xml:space="preserve">Para verificar si la solución de la esquina noroeste es óptima se aplica el método MODI o de distribución modificada (Hillier &amp; Lieberman, 2015; Taha, 2017). Se calculan los multiplicadores u_i (uno por cada centro) y v_j (uno por cada punto de venta) de manera que, para cada celda básica, se cumpla la condición c_ij = u_i + v_j. Se fija arbitrariamente u_A = 0 y se resuelve el sistema en cadena a partir de las celdas básicas:</w:t>
      </w:r>
    </w:p>
    <w:p>
      <w:pPr>
        <w:pStyle w:val="ListParagraph"/>
        <w:numPr>
          <w:ilvl w:val="0"/>
          <w:numId w:val="2"/>
        </w:numPr>
        <w:spacing w:after="80"/>
      </w:pPr>
      <w:r>
        <w:rPr>
          <w:sz w:val="22"/>
          <w:szCs w:val="22"/>
        </w:rPr>
        <w:t xml:space="preserve">De X_A1 (básica): 4 = u_A + v_1  →  v_1 = 4</w:t>
      </w:r>
    </w:p>
    <w:p>
      <w:pPr>
        <w:pStyle w:val="ListParagraph"/>
        <w:numPr>
          <w:ilvl w:val="0"/>
          <w:numId w:val="2"/>
        </w:numPr>
        <w:spacing w:after="80"/>
      </w:pPr>
      <w:r>
        <w:rPr>
          <w:sz w:val="22"/>
          <w:szCs w:val="22"/>
        </w:rPr>
        <w:t xml:space="preserve">De X_A2 (básica): 6 = u_A + v_2  →  v_2 = 6</w:t>
      </w:r>
    </w:p>
    <w:p>
      <w:pPr>
        <w:pStyle w:val="ListParagraph"/>
        <w:numPr>
          <w:ilvl w:val="0"/>
          <w:numId w:val="2"/>
        </w:numPr>
        <w:spacing w:after="80"/>
      </w:pPr>
      <w:r>
        <w:rPr>
          <w:sz w:val="22"/>
          <w:szCs w:val="22"/>
        </w:rPr>
        <w:t xml:space="preserve">De X_B2 (básica): 7 = u_B + v_2  →  u_B = 1</w:t>
      </w:r>
    </w:p>
    <w:p>
      <w:pPr>
        <w:pStyle w:val="ListParagraph"/>
        <w:numPr>
          <w:ilvl w:val="0"/>
          <w:numId w:val="2"/>
        </w:numPr>
        <w:spacing w:after="80"/>
      </w:pPr>
      <w:r>
        <w:rPr>
          <w:sz w:val="22"/>
          <w:szCs w:val="22"/>
        </w:rPr>
        <w:t xml:space="preserve">De X_B3 (básica): 9 = u_B + v_3  →  v_3 = 8</w:t>
      </w:r>
    </w:p>
    <w:p>
      <w:pPr>
        <w:pStyle w:val="ListParagraph"/>
        <w:numPr>
          <w:ilvl w:val="0"/>
          <w:numId w:val="2"/>
        </w:numPr>
        <w:spacing w:after="80"/>
      </w:pPr>
      <w:r>
        <w:rPr>
          <w:sz w:val="22"/>
          <w:szCs w:val="22"/>
        </w:rPr>
        <w:t xml:space="preserve">De X_C3 (básica): 10 = u_C + v_3  →  u_C = 2</w:t>
      </w:r>
    </w:p>
    <w:p>
      <w:pPr>
        <w:pStyle w:val="ListParagraph"/>
        <w:numPr>
          <w:ilvl w:val="0"/>
          <w:numId w:val="2"/>
        </w:numPr>
        <w:spacing w:after="80"/>
      </w:pPr>
      <w:r>
        <w:rPr>
          <w:sz w:val="22"/>
          <w:szCs w:val="22"/>
        </w:rPr>
        <w:t xml:space="preserve">De X_C4 (básica): 12 = u_C + v_4  →  v_4 = 10</w:t>
      </w:r>
    </w:p>
    <w:p>
      <w:pPr>
        <w:pStyle w:val="ListParagraph"/>
        <w:numPr>
          <w:ilvl w:val="0"/>
          <w:numId w:val="2"/>
        </w:numPr>
        <w:spacing w:after="80"/>
      </w:pPr>
      <w:r>
        <w:rPr>
          <w:sz w:val="22"/>
          <w:szCs w:val="22"/>
        </w:rPr>
        <w:t xml:space="preserve">De X_C5 (básica): 14 = u_C + v_5  →  v_5 = 12</w:t>
      </w:r>
    </w:p>
    <w:p>
      <w:pPr>
        <w:spacing w:after="160" w:line="276"/>
        <w:jc w:val="both"/>
      </w:pPr>
      <w:r>
        <w:rPr>
          <w:sz w:val="22"/>
          <w:szCs w:val="22"/>
        </w:rPr>
        <w:t xml:space="preserve">Con los multiplicadores u_A=0, u_B=1, u_C=2 y v_1=4, v_2=6, v_3=8, v_4=10, v_5=12, se calcula el costo reducido de cada celda no básica mediante c̄_ij = c_ij − (u_i + v_j):</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1440"/>
        <w:gridCol w:w="1440"/>
        <w:gridCol w:w="1440"/>
        <w:gridCol w:w="1440"/>
      </w:tblGrid>
      <w:tr>
        <w:trPr>
          <w:cantSplit/>
          <w:tblHeader/>
        </w:trPr>
        <w:tc>
          <w:tcPr>
            <w:tcW w:type="dxa" w:w="2160"/>
            <w:shd w:fill="1F3864" w:color="auto" w:val="clear"/>
            <w:tcMar>
              <w:top w:type="dxa" w:w="80"/>
              <w:left w:type="dxa" w:w="100"/>
              <w:bottom w:type="dxa" w:w="80"/>
              <w:right w:type="dxa" w:w="100"/>
            </w:tcMar>
            <w:vAlign w:val="center"/>
          </w:tcPr>
          <w:p>
            <w:pPr>
              <w:jc w:val="center"/>
            </w:pPr>
            <w:r>
              <w:rPr>
                <w:b/>
                <w:bCs/>
                <w:color w:val="FFFFFF"/>
                <w:sz w:val="20"/>
                <w:szCs w:val="20"/>
              </w:rPr>
              <w:t xml:space="preserve"/>
            </w:r>
          </w:p>
        </w:tc>
        <w:tc>
          <w:tcPr>
            <w:tcW w:type="dxa" w:w="1440"/>
            <w:shd w:fill="1F3864" w:color="auto" w:val="clear"/>
            <w:tcMar>
              <w:top w:type="dxa" w:w="80"/>
              <w:left w:type="dxa" w:w="100"/>
              <w:bottom w:type="dxa" w:w="80"/>
              <w:right w:type="dxa" w:w="100"/>
            </w:tcMar>
            <w:vAlign w:val="center"/>
          </w:tcPr>
          <w:p>
            <w:pPr>
              <w:jc w:val="center"/>
            </w:pPr>
            <w:r>
              <w:rPr>
                <w:b/>
                <w:bCs/>
                <w:color w:val="FFFFFF"/>
                <w:sz w:val="20"/>
                <w:szCs w:val="20"/>
              </w:rPr>
              <w:t xml:space="preserve">v1 = 4</w:t>
            </w:r>
          </w:p>
        </w:tc>
        <w:tc>
          <w:tcPr>
            <w:tcW w:type="dxa" w:w="1440"/>
            <w:shd w:fill="1F3864" w:color="auto" w:val="clear"/>
            <w:tcMar>
              <w:top w:type="dxa" w:w="80"/>
              <w:left w:type="dxa" w:w="100"/>
              <w:bottom w:type="dxa" w:w="80"/>
              <w:right w:type="dxa" w:w="100"/>
            </w:tcMar>
            <w:vAlign w:val="center"/>
          </w:tcPr>
          <w:p>
            <w:pPr>
              <w:jc w:val="center"/>
            </w:pPr>
            <w:r>
              <w:rPr>
                <w:b/>
                <w:bCs/>
                <w:color w:val="FFFFFF"/>
                <w:sz w:val="20"/>
                <w:szCs w:val="20"/>
              </w:rPr>
              <w:t xml:space="preserve">v2 = 6</w:t>
            </w:r>
          </w:p>
        </w:tc>
        <w:tc>
          <w:tcPr>
            <w:tcW w:type="dxa" w:w="1440"/>
            <w:shd w:fill="1F3864" w:color="auto" w:val="clear"/>
            <w:tcMar>
              <w:top w:type="dxa" w:w="80"/>
              <w:left w:type="dxa" w:w="100"/>
              <w:bottom w:type="dxa" w:w="80"/>
              <w:right w:type="dxa" w:w="100"/>
            </w:tcMar>
            <w:vAlign w:val="center"/>
          </w:tcPr>
          <w:p>
            <w:pPr>
              <w:jc w:val="center"/>
            </w:pPr>
            <w:r>
              <w:rPr>
                <w:b/>
                <w:bCs/>
                <w:color w:val="FFFFFF"/>
                <w:sz w:val="20"/>
                <w:szCs w:val="20"/>
              </w:rPr>
              <w:t xml:space="preserve">v3 = 8</w:t>
            </w:r>
          </w:p>
        </w:tc>
        <w:tc>
          <w:tcPr>
            <w:tcW w:type="dxa" w:w="1440"/>
            <w:shd w:fill="1F3864" w:color="auto" w:val="clear"/>
            <w:tcMar>
              <w:top w:type="dxa" w:w="80"/>
              <w:left w:type="dxa" w:w="100"/>
              <w:bottom w:type="dxa" w:w="80"/>
              <w:right w:type="dxa" w:w="100"/>
            </w:tcMar>
            <w:vAlign w:val="center"/>
          </w:tcPr>
          <w:p>
            <w:pPr>
              <w:jc w:val="center"/>
            </w:pPr>
            <w:r>
              <w:rPr>
                <w:b/>
                <w:bCs/>
                <w:color w:val="FFFFFF"/>
                <w:sz w:val="20"/>
                <w:szCs w:val="20"/>
              </w:rPr>
              <w:t xml:space="preserve">v4 = 10</w:t>
            </w:r>
          </w:p>
        </w:tc>
        <w:tc>
          <w:tcPr>
            <w:tcW w:type="dxa" w:w="1440"/>
            <w:shd w:fill="1F3864" w:color="auto" w:val="clear"/>
            <w:tcMar>
              <w:top w:type="dxa" w:w="80"/>
              <w:left w:type="dxa" w:w="100"/>
              <w:bottom w:type="dxa" w:w="80"/>
              <w:right w:type="dxa" w:w="100"/>
            </w:tcMar>
            <w:vAlign w:val="center"/>
          </w:tcPr>
          <w:p>
            <w:pPr>
              <w:jc w:val="center"/>
            </w:pPr>
            <w:r>
              <w:rPr>
                <w:b/>
                <w:bCs/>
                <w:color w:val="FFFFFF"/>
                <w:sz w:val="20"/>
                <w:szCs w:val="20"/>
              </w:rPr>
              <w:t xml:space="preserve">v5 = 12</w:t>
            </w:r>
          </w:p>
        </w:tc>
      </w:tr>
      <w:tr>
        <w:trPr>
          <w:cantSplit/>
        </w:trPr>
        <w:tc>
          <w:tcPr>
            <w:tcW w:type="dxa" w:w="216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u_A = 0</w:t>
            </w:r>
          </w:p>
        </w:tc>
        <w:tc>
          <w:tcPr>
            <w:tcW w:type="dxa" w:w="144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4 (básica)</w:t>
            </w:r>
          </w:p>
        </w:tc>
        <w:tc>
          <w:tcPr>
            <w:tcW w:type="dxa" w:w="144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6 (básica)</w:t>
            </w:r>
          </w:p>
        </w:tc>
        <w:tc>
          <w:tcPr>
            <w:tcW w:type="dxa" w:w="144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8 (0)</w:t>
            </w:r>
          </w:p>
        </w:tc>
        <w:tc>
          <w:tcPr>
            <w:tcW w:type="dxa" w:w="144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10 (0)</w:t>
            </w:r>
          </w:p>
        </w:tc>
        <w:tc>
          <w:tcPr>
            <w:tcW w:type="dxa" w:w="144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12 (0)</w:t>
            </w:r>
          </w:p>
        </w:tc>
      </w:tr>
      <w:tr>
        <w:trPr>
          <w:cantSplit/>
        </w:trPr>
        <w:tc>
          <w:tcPr>
            <w:tcW w:type="dxa" w:w="2160"/>
            <w:shd w:fill="F2F2F2" w:color="auto" w:val="clear"/>
            <w:tcMar>
              <w:top w:type="dxa" w:w="80"/>
              <w:left w:type="dxa" w:w="100"/>
              <w:bottom w:type="dxa" w:w="80"/>
              <w:right w:type="dxa" w:w="100"/>
            </w:tcMar>
            <w:vAlign w:val="center"/>
          </w:tcPr>
          <w:p>
            <w:pPr>
              <w:jc w:val="center"/>
            </w:pPr>
            <w:r>
              <w:rPr>
                <w:b w:val="false"/>
                <w:bCs w:val="false"/>
                <w:color w:val="000000"/>
                <w:sz w:val="20"/>
                <w:szCs w:val="20"/>
              </w:rPr>
              <w:t xml:space="preserve">u_B = 1</w:t>
            </w:r>
          </w:p>
        </w:tc>
        <w:tc>
          <w:tcPr>
            <w:tcW w:type="dxa" w:w="1440"/>
            <w:shd w:fill="F2F2F2" w:color="auto" w:val="clear"/>
            <w:tcMar>
              <w:top w:type="dxa" w:w="80"/>
              <w:left w:type="dxa" w:w="100"/>
              <w:bottom w:type="dxa" w:w="80"/>
              <w:right w:type="dxa" w:w="100"/>
            </w:tcMar>
            <w:vAlign w:val="center"/>
          </w:tcPr>
          <w:p>
            <w:pPr>
              <w:jc w:val="center"/>
            </w:pPr>
            <w:r>
              <w:rPr>
                <w:b w:val="false"/>
                <w:bCs w:val="false"/>
                <w:color w:val="000000"/>
                <w:sz w:val="20"/>
                <w:szCs w:val="20"/>
              </w:rPr>
              <w:t xml:space="preserve">5 (0)</w:t>
            </w:r>
          </w:p>
        </w:tc>
        <w:tc>
          <w:tcPr>
            <w:tcW w:type="dxa" w:w="1440"/>
            <w:shd w:fill="F2F2F2" w:color="auto" w:val="clear"/>
            <w:tcMar>
              <w:top w:type="dxa" w:w="80"/>
              <w:left w:type="dxa" w:w="100"/>
              <w:bottom w:type="dxa" w:w="80"/>
              <w:right w:type="dxa" w:w="100"/>
            </w:tcMar>
            <w:vAlign w:val="center"/>
          </w:tcPr>
          <w:p>
            <w:pPr>
              <w:jc w:val="center"/>
            </w:pPr>
            <w:r>
              <w:rPr>
                <w:b w:val="false"/>
                <w:bCs w:val="false"/>
                <w:color w:val="000000"/>
                <w:sz w:val="20"/>
                <w:szCs w:val="20"/>
              </w:rPr>
              <w:t xml:space="preserve">7 (básica)</w:t>
            </w:r>
          </w:p>
        </w:tc>
        <w:tc>
          <w:tcPr>
            <w:tcW w:type="dxa" w:w="1440"/>
            <w:shd w:fill="F2F2F2" w:color="auto" w:val="clear"/>
            <w:tcMar>
              <w:top w:type="dxa" w:w="80"/>
              <w:left w:type="dxa" w:w="100"/>
              <w:bottom w:type="dxa" w:w="80"/>
              <w:right w:type="dxa" w:w="100"/>
            </w:tcMar>
            <w:vAlign w:val="center"/>
          </w:tcPr>
          <w:p>
            <w:pPr>
              <w:jc w:val="center"/>
            </w:pPr>
            <w:r>
              <w:rPr>
                <w:b w:val="false"/>
                <w:bCs w:val="false"/>
                <w:color w:val="000000"/>
                <w:sz w:val="20"/>
                <w:szCs w:val="20"/>
              </w:rPr>
              <w:t xml:space="preserve">9 (básica)</w:t>
            </w:r>
          </w:p>
        </w:tc>
        <w:tc>
          <w:tcPr>
            <w:tcW w:type="dxa" w:w="1440"/>
            <w:shd w:fill="F2F2F2" w:color="auto" w:val="clear"/>
            <w:tcMar>
              <w:top w:type="dxa" w:w="80"/>
              <w:left w:type="dxa" w:w="100"/>
              <w:bottom w:type="dxa" w:w="80"/>
              <w:right w:type="dxa" w:w="100"/>
            </w:tcMar>
            <w:vAlign w:val="center"/>
          </w:tcPr>
          <w:p>
            <w:pPr>
              <w:jc w:val="center"/>
            </w:pPr>
            <w:r>
              <w:rPr>
                <w:b w:val="false"/>
                <w:bCs w:val="false"/>
                <w:color w:val="000000"/>
                <w:sz w:val="20"/>
                <w:szCs w:val="20"/>
              </w:rPr>
              <w:t xml:space="preserve">11 (0)</w:t>
            </w:r>
          </w:p>
        </w:tc>
        <w:tc>
          <w:tcPr>
            <w:tcW w:type="dxa" w:w="1440"/>
            <w:shd w:fill="F2F2F2" w:color="auto" w:val="clear"/>
            <w:tcMar>
              <w:top w:type="dxa" w:w="80"/>
              <w:left w:type="dxa" w:w="100"/>
              <w:bottom w:type="dxa" w:w="80"/>
              <w:right w:type="dxa" w:w="100"/>
            </w:tcMar>
            <w:vAlign w:val="center"/>
          </w:tcPr>
          <w:p>
            <w:pPr>
              <w:jc w:val="center"/>
            </w:pPr>
            <w:r>
              <w:rPr>
                <w:b w:val="false"/>
                <w:bCs w:val="false"/>
                <w:color w:val="000000"/>
                <w:sz w:val="20"/>
                <w:szCs w:val="20"/>
              </w:rPr>
              <w:t xml:space="preserve">13 (0)</w:t>
            </w:r>
          </w:p>
        </w:tc>
      </w:tr>
      <w:tr>
        <w:trPr>
          <w:cantSplit/>
        </w:trPr>
        <w:tc>
          <w:tcPr>
            <w:tcW w:type="dxa" w:w="216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u_C = 2</w:t>
            </w:r>
          </w:p>
        </w:tc>
        <w:tc>
          <w:tcPr>
            <w:tcW w:type="dxa" w:w="144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6 (0)</w:t>
            </w:r>
          </w:p>
        </w:tc>
        <w:tc>
          <w:tcPr>
            <w:tcW w:type="dxa" w:w="144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8 (0)</w:t>
            </w:r>
          </w:p>
        </w:tc>
        <w:tc>
          <w:tcPr>
            <w:tcW w:type="dxa" w:w="144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10 (básica)</w:t>
            </w:r>
          </w:p>
        </w:tc>
        <w:tc>
          <w:tcPr>
            <w:tcW w:type="dxa" w:w="144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12 (básica)</w:t>
            </w:r>
          </w:p>
        </w:tc>
        <w:tc>
          <w:tcPr>
            <w:tcW w:type="dxa" w:w="144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14 (básica)</w:t>
            </w:r>
          </w:p>
        </w:tc>
      </w:tr>
    </w:tbl>
    <w:p>
      <w:pPr>
        <w:spacing w:after="240" w:before="60"/>
        <w:jc w:val="center"/>
      </w:pPr>
      <w:r>
        <w:rPr>
          <w:i/>
          <w:iCs/>
          <w:color w:val="555555"/>
          <w:sz w:val="18"/>
          <w:szCs w:val="18"/>
        </w:rPr>
        <w:t xml:space="preserve">Tabla 5. Multiplicadores u, v y costos reducidos (entre paréntesis) de las celdas no básicas.</w:t>
      </w:r>
    </w:p>
    <w:p>
      <w:pPr>
        <w:spacing w:after="160" w:line="276"/>
        <w:jc w:val="both"/>
      </w:pPr>
      <w:r>
        <w:rPr>
          <w:sz w:val="22"/>
          <w:szCs w:val="22"/>
        </w:rPr>
        <w:t xml:space="preserve">Los ocho costos reducidos de las celdas no básicas (X_A3, X_A4, X_A5, X_B1, X_B4, X_B5, X_C1, X_C2) resultan ser exactamente iguales a cero:</w:t>
      </w:r>
    </w:p>
    <w:p>
      <w:pPr>
        <w:spacing w:after="160" w:before="100"/>
        <w:jc w:val="center"/>
      </w:pPr>
      <w:r>
        <w:rPr>
          <w:i/>
          <w:iCs/>
          <w:sz w:val="22"/>
          <w:szCs w:val="22"/>
        </w:rPr>
        <w:t xml:space="preserve">c̄_A3 = 8−(0+8) = 0     c̄_A4 = 10−(0+10) = 0     c̄_A5 = 12−(0+12) = 0     c̄_B1 = 5−(1+4) = 0</w:t>
      </w:r>
    </w:p>
    <w:p>
      <w:pPr>
        <w:spacing w:after="160" w:before="100"/>
        <w:jc w:val="center"/>
      </w:pPr>
      <w:r>
        <w:rPr>
          <w:i/>
          <w:iCs/>
          <w:sz w:val="22"/>
          <w:szCs w:val="22"/>
        </w:rPr>
        <w:t xml:space="preserve">c̄_B4 = 11−(1+10) = 0     c̄_B5 = 13−(1+12) = 0     c̄_C1 = 6−(2+4) = 0     c̄_C2 = 8−(2+6) = 0</w:t>
      </w:r>
    </w:p>
    <w:p>
      <w:pPr>
        <w:spacing w:after="160" w:line="276"/>
        <w:jc w:val="both"/>
      </w:pPr>
      <w:r>
        <w:rPr>
          <w:sz w:val="22"/>
          <w:szCs w:val="22"/>
        </w:rPr>
        <w:t xml:space="preserve">Puesto que todos los costos reducidos son mayores o iguales a cero (de hecho, iguales a cero), la condición de optimalidad del método MODI se cumple: la solución de la esquina noroeste es óptima. No es necesario aplicar el método del salto de piedra en piedra (stepping-stone) para mejorar la solución, porque no existe ninguna celda no básica cuya entrada reduzca el costo total.</w:t>
      </w:r>
    </w:p>
    <w:p>
      <w:pPr>
        <w:pStyle w:val="Heading2"/>
        <w:spacing w:after="140" w:before="280"/>
      </w:pPr>
      <w:r>
        <w:rPr>
          <w:b/>
          <w:bCs/>
          <w:color w:val="1F3864"/>
          <w:sz w:val="24"/>
          <w:szCs w:val="24"/>
        </w:rPr>
        <w:t xml:space="preserve">4.4 Solución óptima y existencia de soluciones alternas</w:t>
      </w:r>
    </w:p>
    <w:p>
      <w:pPr>
        <w:spacing w:after="160" w:line="276"/>
        <w:jc w:val="both"/>
      </w:pPr>
      <w:r>
        <w:rPr>
          <w:sz w:val="22"/>
          <w:szCs w:val="22"/>
        </w:rPr>
        <w:t xml:space="preserve">El hecho de que todos los costos reducidos sean exactamente cero —y no solo mayores o iguales a cero— tiene una interpretación adicional relevante para la empresa: la matriz de costos de este caso es "separable" o de tipo Monge, es decir, cada costo unitario puede escribirse como c_ij = a_i + b_j, con a_A = 4, a_B = 5, a_C = 6 (un costo base por centro) y b_1 = 0, b_2 = 2, b_3 = 4, b_4 = 6, b_5 = 8 (un recargo por punto de venta). Puede verificarse que c_ij = a_i + b_j reproduce exactamente la tabla 3 de costos.</w:t>
      </w:r>
    </w:p>
    <w:p>
      <w:pPr>
        <w:spacing w:after="160" w:line="276"/>
        <w:jc w:val="both"/>
      </w:pPr>
      <w:r>
        <w:rPr>
          <w:sz w:val="22"/>
          <w:szCs w:val="22"/>
        </w:rPr>
        <w:t xml:space="preserve">Cuando el costo es separable de esta forma y el problema está balanceado, el costo total de cualquier solución factible (no solo la óptima) es siempre el mismo, porque:</w:t>
      </w:r>
    </w:p>
    <w:p>
      <w:pPr>
        <w:spacing w:after="160" w:before="100"/>
        <w:jc w:val="center"/>
      </w:pPr>
      <w:r>
        <w:rPr>
          <w:i/>
          <w:iCs/>
          <w:sz w:val="22"/>
          <w:szCs w:val="22"/>
        </w:rPr>
        <w:t xml:space="preserve">Z = Σi Σj (a_i + b_j)·Xij = Σi a_i·(Σj Xij) + Σj b_j·(Σi Xij) = Σi a_i·Si + Σj b_j·Dj</w:t>
      </w:r>
    </w:p>
    <w:p>
      <w:pPr>
        <w:spacing w:after="160" w:line="276"/>
        <w:jc w:val="both"/>
      </w:pPr>
      <w:r>
        <w:rPr>
          <w:sz w:val="22"/>
          <w:szCs w:val="22"/>
        </w:rPr>
        <w:t xml:space="preserve">y esta última expresión solo depende de las disponibilidades Si y las demandas Dj, no de cómo se distribuyan los envíos entre rutas. Sustituyendo los valores del caso:</w:t>
      </w:r>
    </w:p>
    <w:p>
      <w:pPr>
        <w:spacing w:after="160" w:before="100"/>
        <w:jc w:val="center"/>
      </w:pPr>
      <w:r>
        <w:rPr>
          <w:i/>
          <w:iCs/>
          <w:sz w:val="22"/>
          <w:szCs w:val="22"/>
        </w:rPr>
        <w:t xml:space="preserve">Z = (4×100 + 5×150 + 6×200) + (0×80 + 2×90 + 4×120 + 6×60 + 8×100)</w:t>
      </w:r>
    </w:p>
    <w:p>
      <w:pPr>
        <w:spacing w:after="160" w:before="100"/>
        <w:jc w:val="center"/>
      </w:pPr>
      <w:r>
        <w:rPr>
          <w:i/>
          <w:iCs/>
          <w:sz w:val="22"/>
          <w:szCs w:val="22"/>
        </w:rPr>
        <w:t xml:space="preserve">Z = (400 + 750 + 1 200) + (0 + 180 + 480 + 360 + 800) = 2 350 + 1 820 = 4 170</w:t>
      </w:r>
    </w:p>
    <w:p>
      <w:pPr>
        <w:spacing w:after="160" w:line="276"/>
        <w:jc w:val="both"/>
      </w:pPr>
      <w:r>
        <w:rPr>
          <w:sz w:val="22"/>
          <w:szCs w:val="22"/>
        </w:rPr>
        <w:t xml:space="preserve">Esto explica por qué el método MODI arrojó costos reducidos nulos en todas las celdas no básicas: existen múltiples soluciones óptimas alternativas (todas con Z = 4 170), y la obtenida por la esquina noroeste es una de ellas. Para la empresa esto es una buena noticia operativa: dispone de flexibilidad para elegir, entre varias asignaciones igualmente económicas, la que resulte más conveniente por otros criterios no incluidos en el modelo (por ejemplo, cercanía geográfica real, tiempos de entrega o continuidad de relaciones comerciales con transportistas), sin sacrificar el costo mínimo de transporte.</w:t>
      </w:r>
    </w:p>
    <w:p>
      <w:pPr>
        <w:spacing w:after="160" w:line="276"/>
        <w:jc w:val="both"/>
      </w:pPr>
      <w:r>
        <w:rPr>
          <w:sz w:val="22"/>
          <w:szCs w:val="22"/>
        </w:rPr>
        <w:t xml:space="preserve">Dicho de forma más simple, o al menos así lo entendí yo cuando lo resolví por varios caminos distintos en la sección 4.6: no hay una única «respuesta correcta» de cómo repartir los envíos, hay varias formas de llegar al mismo costo mínimo, y eso en la práctica le da un respiro a la empresa para acomodar la logística sin perder plata.</w:t>
      </w:r>
    </w:p>
    <w:p>
      <w:pPr>
        <w:spacing w:after="160" w:line="276"/>
        <w:jc w:val="both"/>
      </w:pPr>
      <w:r>
        <w:rPr>
          <w:sz w:val="22"/>
          <w:szCs w:val="22"/>
        </w:rPr>
        <w:t xml:space="preserve">La solución óptima que se adopta como referencia para el resto del análisis es, por tanto, la obtenida en la tabla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2560"/>
      </w:tblGrid>
      <w:tr>
        <w:trPr>
          <w:cantSplit/>
          <w:tblHeader/>
        </w:trPr>
        <w:tc>
          <w:tcPr>
            <w:tcW w:type="dxa" w:w="2400"/>
            <w:shd w:fill="1F3864" w:color="auto" w:val="clear"/>
            <w:tcMar>
              <w:top w:type="dxa" w:w="80"/>
              <w:left w:type="dxa" w:w="100"/>
              <w:bottom w:type="dxa" w:w="80"/>
              <w:right w:type="dxa" w:w="100"/>
            </w:tcMar>
            <w:vAlign w:val="center"/>
          </w:tcPr>
          <w:p>
            <w:pPr>
              <w:jc w:val="center"/>
            </w:pPr>
            <w:r>
              <w:rPr>
                <w:b/>
                <w:bCs/>
                <w:color w:val="FFFFFF"/>
                <w:sz w:val="20"/>
                <w:szCs w:val="20"/>
              </w:rPr>
              <w:t xml:space="preserve">Ruta</w:t>
            </w:r>
          </w:p>
        </w:tc>
        <w:tc>
          <w:tcPr>
            <w:tcW w:type="dxa" w:w="2000"/>
            <w:shd w:fill="1F3864" w:color="auto" w:val="clear"/>
            <w:tcMar>
              <w:top w:type="dxa" w:w="80"/>
              <w:left w:type="dxa" w:w="100"/>
              <w:bottom w:type="dxa" w:w="80"/>
              <w:right w:type="dxa" w:w="100"/>
            </w:tcMar>
            <w:vAlign w:val="center"/>
          </w:tcPr>
          <w:p>
            <w:pPr>
              <w:jc w:val="center"/>
            </w:pPr>
            <w:r>
              <w:rPr>
                <w:b/>
                <w:bCs/>
                <w:color w:val="FFFFFF"/>
                <w:sz w:val="20"/>
                <w:szCs w:val="20"/>
              </w:rPr>
              <w:t xml:space="preserve">Unidades</w:t>
            </w:r>
          </w:p>
        </w:tc>
        <w:tc>
          <w:tcPr>
            <w:tcW w:type="dxa" w:w="2400"/>
            <w:shd w:fill="1F3864" w:color="auto" w:val="clear"/>
            <w:tcMar>
              <w:top w:type="dxa" w:w="80"/>
              <w:left w:type="dxa" w:w="100"/>
              <w:bottom w:type="dxa" w:w="80"/>
              <w:right w:type="dxa" w:w="100"/>
            </w:tcMar>
            <w:vAlign w:val="center"/>
          </w:tcPr>
          <w:p>
            <w:pPr>
              <w:jc w:val="center"/>
            </w:pPr>
            <w:r>
              <w:rPr>
                <w:b/>
                <w:bCs/>
                <w:color w:val="FFFFFF"/>
                <w:sz w:val="20"/>
                <w:szCs w:val="20"/>
              </w:rPr>
              <w:t xml:space="preserve">Costo unitario</w:t>
            </w:r>
          </w:p>
        </w:tc>
        <w:tc>
          <w:tcPr>
            <w:tcW w:type="dxa" w:w="2560"/>
            <w:shd w:fill="1F3864" w:color="auto" w:val="clear"/>
            <w:tcMar>
              <w:top w:type="dxa" w:w="80"/>
              <w:left w:type="dxa" w:w="100"/>
              <w:bottom w:type="dxa" w:w="80"/>
              <w:right w:type="dxa" w:w="100"/>
            </w:tcMar>
            <w:vAlign w:val="center"/>
          </w:tcPr>
          <w:p>
            <w:pPr>
              <w:jc w:val="center"/>
            </w:pPr>
            <w:r>
              <w:rPr>
                <w:b/>
                <w:bCs/>
                <w:color w:val="FFFFFF"/>
                <w:sz w:val="20"/>
                <w:szCs w:val="20"/>
              </w:rPr>
              <w:t xml:space="preserve">Subtotal</w:t>
            </w:r>
          </w:p>
        </w:tc>
      </w:tr>
      <w:tr>
        <w:trPr>
          <w:cantSplit/>
        </w:trPr>
        <w:tc>
          <w:tcPr>
            <w:tcW w:type="dxa" w:w="240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A → 1</w:t>
            </w:r>
          </w:p>
        </w:tc>
        <w:tc>
          <w:tcPr>
            <w:tcW w:type="dxa" w:w="200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80</w:t>
            </w:r>
          </w:p>
        </w:tc>
        <w:tc>
          <w:tcPr>
            <w:tcW w:type="dxa" w:w="240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4</w:t>
            </w:r>
          </w:p>
        </w:tc>
        <w:tc>
          <w:tcPr>
            <w:tcW w:type="dxa" w:w="256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320</w:t>
            </w:r>
          </w:p>
        </w:tc>
      </w:tr>
      <w:tr>
        <w:trPr>
          <w:cantSplit/>
        </w:trPr>
        <w:tc>
          <w:tcPr>
            <w:tcW w:type="dxa" w:w="2400"/>
            <w:shd w:fill="F2F2F2" w:color="auto" w:val="clear"/>
            <w:tcMar>
              <w:top w:type="dxa" w:w="80"/>
              <w:left w:type="dxa" w:w="100"/>
              <w:bottom w:type="dxa" w:w="80"/>
              <w:right w:type="dxa" w:w="100"/>
            </w:tcMar>
            <w:vAlign w:val="center"/>
          </w:tcPr>
          <w:p>
            <w:pPr>
              <w:jc w:val="center"/>
            </w:pPr>
            <w:r>
              <w:rPr>
                <w:b w:val="false"/>
                <w:bCs w:val="false"/>
                <w:color w:val="000000"/>
                <w:sz w:val="20"/>
                <w:szCs w:val="20"/>
              </w:rPr>
              <w:t xml:space="preserve">A → 2</w:t>
            </w:r>
          </w:p>
        </w:tc>
        <w:tc>
          <w:tcPr>
            <w:tcW w:type="dxa" w:w="2000"/>
            <w:shd w:fill="F2F2F2" w:color="auto" w:val="clear"/>
            <w:tcMar>
              <w:top w:type="dxa" w:w="80"/>
              <w:left w:type="dxa" w:w="100"/>
              <w:bottom w:type="dxa" w:w="80"/>
              <w:right w:type="dxa" w:w="100"/>
            </w:tcMar>
            <w:vAlign w:val="center"/>
          </w:tcPr>
          <w:p>
            <w:pPr>
              <w:jc w:val="center"/>
            </w:pPr>
            <w:r>
              <w:rPr>
                <w:b w:val="false"/>
                <w:bCs w:val="false"/>
                <w:color w:val="000000"/>
                <w:sz w:val="20"/>
                <w:szCs w:val="20"/>
              </w:rPr>
              <w:t xml:space="preserve">20</w:t>
            </w:r>
          </w:p>
        </w:tc>
        <w:tc>
          <w:tcPr>
            <w:tcW w:type="dxa" w:w="2400"/>
            <w:shd w:fill="F2F2F2" w:color="auto" w:val="clear"/>
            <w:tcMar>
              <w:top w:type="dxa" w:w="80"/>
              <w:left w:type="dxa" w:w="100"/>
              <w:bottom w:type="dxa" w:w="80"/>
              <w:right w:type="dxa" w:w="100"/>
            </w:tcMar>
            <w:vAlign w:val="center"/>
          </w:tcPr>
          <w:p>
            <w:pPr>
              <w:jc w:val="center"/>
            </w:pPr>
            <w:r>
              <w:rPr>
                <w:b w:val="false"/>
                <w:bCs w:val="false"/>
                <w:color w:val="000000"/>
                <w:sz w:val="20"/>
                <w:szCs w:val="20"/>
              </w:rPr>
              <w:t xml:space="preserve">6</w:t>
            </w:r>
          </w:p>
        </w:tc>
        <w:tc>
          <w:tcPr>
            <w:tcW w:type="dxa" w:w="2560"/>
            <w:shd w:fill="F2F2F2" w:color="auto" w:val="clear"/>
            <w:tcMar>
              <w:top w:type="dxa" w:w="80"/>
              <w:left w:type="dxa" w:w="100"/>
              <w:bottom w:type="dxa" w:w="80"/>
              <w:right w:type="dxa" w:w="100"/>
            </w:tcMar>
            <w:vAlign w:val="center"/>
          </w:tcPr>
          <w:p>
            <w:pPr>
              <w:jc w:val="center"/>
            </w:pPr>
            <w:r>
              <w:rPr>
                <w:b w:val="false"/>
                <w:bCs w:val="false"/>
                <w:color w:val="000000"/>
                <w:sz w:val="20"/>
                <w:szCs w:val="20"/>
              </w:rPr>
              <w:t xml:space="preserve">120</w:t>
            </w:r>
          </w:p>
        </w:tc>
      </w:tr>
      <w:tr>
        <w:trPr>
          <w:cantSplit/>
        </w:trPr>
        <w:tc>
          <w:tcPr>
            <w:tcW w:type="dxa" w:w="240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B → 2</w:t>
            </w:r>
          </w:p>
        </w:tc>
        <w:tc>
          <w:tcPr>
            <w:tcW w:type="dxa" w:w="200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70</w:t>
            </w:r>
          </w:p>
        </w:tc>
        <w:tc>
          <w:tcPr>
            <w:tcW w:type="dxa" w:w="240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7</w:t>
            </w:r>
          </w:p>
        </w:tc>
        <w:tc>
          <w:tcPr>
            <w:tcW w:type="dxa" w:w="256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490</w:t>
            </w:r>
          </w:p>
        </w:tc>
      </w:tr>
      <w:tr>
        <w:trPr>
          <w:cantSplit/>
        </w:trPr>
        <w:tc>
          <w:tcPr>
            <w:tcW w:type="dxa" w:w="2400"/>
            <w:shd w:fill="F2F2F2" w:color="auto" w:val="clear"/>
            <w:tcMar>
              <w:top w:type="dxa" w:w="80"/>
              <w:left w:type="dxa" w:w="100"/>
              <w:bottom w:type="dxa" w:w="80"/>
              <w:right w:type="dxa" w:w="100"/>
            </w:tcMar>
            <w:vAlign w:val="center"/>
          </w:tcPr>
          <w:p>
            <w:pPr>
              <w:jc w:val="center"/>
            </w:pPr>
            <w:r>
              <w:rPr>
                <w:b w:val="false"/>
                <w:bCs w:val="false"/>
                <w:color w:val="000000"/>
                <w:sz w:val="20"/>
                <w:szCs w:val="20"/>
              </w:rPr>
              <w:t xml:space="preserve">B → 3</w:t>
            </w:r>
          </w:p>
        </w:tc>
        <w:tc>
          <w:tcPr>
            <w:tcW w:type="dxa" w:w="2000"/>
            <w:shd w:fill="F2F2F2" w:color="auto" w:val="clear"/>
            <w:tcMar>
              <w:top w:type="dxa" w:w="80"/>
              <w:left w:type="dxa" w:w="100"/>
              <w:bottom w:type="dxa" w:w="80"/>
              <w:right w:type="dxa" w:w="100"/>
            </w:tcMar>
            <w:vAlign w:val="center"/>
          </w:tcPr>
          <w:p>
            <w:pPr>
              <w:jc w:val="center"/>
            </w:pPr>
            <w:r>
              <w:rPr>
                <w:b w:val="false"/>
                <w:bCs w:val="false"/>
                <w:color w:val="000000"/>
                <w:sz w:val="20"/>
                <w:szCs w:val="20"/>
              </w:rPr>
              <w:t xml:space="preserve">80</w:t>
            </w:r>
          </w:p>
        </w:tc>
        <w:tc>
          <w:tcPr>
            <w:tcW w:type="dxa" w:w="2400"/>
            <w:shd w:fill="F2F2F2" w:color="auto" w:val="clear"/>
            <w:tcMar>
              <w:top w:type="dxa" w:w="80"/>
              <w:left w:type="dxa" w:w="100"/>
              <w:bottom w:type="dxa" w:w="80"/>
              <w:right w:type="dxa" w:w="100"/>
            </w:tcMar>
            <w:vAlign w:val="center"/>
          </w:tcPr>
          <w:p>
            <w:pPr>
              <w:jc w:val="center"/>
            </w:pPr>
            <w:r>
              <w:rPr>
                <w:b w:val="false"/>
                <w:bCs w:val="false"/>
                <w:color w:val="000000"/>
                <w:sz w:val="20"/>
                <w:szCs w:val="20"/>
              </w:rPr>
              <w:t xml:space="preserve">9</w:t>
            </w:r>
          </w:p>
        </w:tc>
        <w:tc>
          <w:tcPr>
            <w:tcW w:type="dxa" w:w="2560"/>
            <w:shd w:fill="F2F2F2" w:color="auto" w:val="clear"/>
            <w:tcMar>
              <w:top w:type="dxa" w:w="80"/>
              <w:left w:type="dxa" w:w="100"/>
              <w:bottom w:type="dxa" w:w="80"/>
              <w:right w:type="dxa" w:w="100"/>
            </w:tcMar>
            <w:vAlign w:val="center"/>
          </w:tcPr>
          <w:p>
            <w:pPr>
              <w:jc w:val="center"/>
            </w:pPr>
            <w:r>
              <w:rPr>
                <w:b w:val="false"/>
                <w:bCs w:val="false"/>
                <w:color w:val="000000"/>
                <w:sz w:val="20"/>
                <w:szCs w:val="20"/>
              </w:rPr>
              <w:t xml:space="preserve">720</w:t>
            </w:r>
          </w:p>
        </w:tc>
      </w:tr>
      <w:tr>
        <w:trPr>
          <w:cantSplit/>
        </w:trPr>
        <w:tc>
          <w:tcPr>
            <w:tcW w:type="dxa" w:w="240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C → 3</w:t>
            </w:r>
          </w:p>
        </w:tc>
        <w:tc>
          <w:tcPr>
            <w:tcW w:type="dxa" w:w="200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40</w:t>
            </w:r>
          </w:p>
        </w:tc>
        <w:tc>
          <w:tcPr>
            <w:tcW w:type="dxa" w:w="240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10</w:t>
            </w:r>
          </w:p>
        </w:tc>
        <w:tc>
          <w:tcPr>
            <w:tcW w:type="dxa" w:w="256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400</w:t>
            </w:r>
          </w:p>
        </w:tc>
      </w:tr>
      <w:tr>
        <w:trPr>
          <w:cantSplit/>
        </w:trPr>
        <w:tc>
          <w:tcPr>
            <w:tcW w:type="dxa" w:w="2400"/>
            <w:shd w:fill="F2F2F2" w:color="auto" w:val="clear"/>
            <w:tcMar>
              <w:top w:type="dxa" w:w="80"/>
              <w:left w:type="dxa" w:w="100"/>
              <w:bottom w:type="dxa" w:w="80"/>
              <w:right w:type="dxa" w:w="100"/>
            </w:tcMar>
            <w:vAlign w:val="center"/>
          </w:tcPr>
          <w:p>
            <w:pPr>
              <w:jc w:val="center"/>
            </w:pPr>
            <w:r>
              <w:rPr>
                <w:b w:val="false"/>
                <w:bCs w:val="false"/>
                <w:color w:val="000000"/>
                <w:sz w:val="20"/>
                <w:szCs w:val="20"/>
              </w:rPr>
              <w:t xml:space="preserve">C → 4</w:t>
            </w:r>
          </w:p>
        </w:tc>
        <w:tc>
          <w:tcPr>
            <w:tcW w:type="dxa" w:w="2000"/>
            <w:shd w:fill="F2F2F2" w:color="auto" w:val="clear"/>
            <w:tcMar>
              <w:top w:type="dxa" w:w="80"/>
              <w:left w:type="dxa" w:w="100"/>
              <w:bottom w:type="dxa" w:w="80"/>
              <w:right w:type="dxa" w:w="100"/>
            </w:tcMar>
            <w:vAlign w:val="center"/>
          </w:tcPr>
          <w:p>
            <w:pPr>
              <w:jc w:val="center"/>
            </w:pPr>
            <w:r>
              <w:rPr>
                <w:b w:val="false"/>
                <w:bCs w:val="false"/>
                <w:color w:val="000000"/>
                <w:sz w:val="20"/>
                <w:szCs w:val="20"/>
              </w:rPr>
              <w:t xml:space="preserve">60</w:t>
            </w:r>
          </w:p>
        </w:tc>
        <w:tc>
          <w:tcPr>
            <w:tcW w:type="dxa" w:w="2400"/>
            <w:shd w:fill="F2F2F2" w:color="auto" w:val="clear"/>
            <w:tcMar>
              <w:top w:type="dxa" w:w="80"/>
              <w:left w:type="dxa" w:w="100"/>
              <w:bottom w:type="dxa" w:w="80"/>
              <w:right w:type="dxa" w:w="100"/>
            </w:tcMar>
            <w:vAlign w:val="center"/>
          </w:tcPr>
          <w:p>
            <w:pPr>
              <w:jc w:val="center"/>
            </w:pPr>
            <w:r>
              <w:rPr>
                <w:b w:val="false"/>
                <w:bCs w:val="false"/>
                <w:color w:val="000000"/>
                <w:sz w:val="20"/>
                <w:szCs w:val="20"/>
              </w:rPr>
              <w:t xml:space="preserve">12</w:t>
            </w:r>
          </w:p>
        </w:tc>
        <w:tc>
          <w:tcPr>
            <w:tcW w:type="dxa" w:w="2560"/>
            <w:shd w:fill="F2F2F2" w:color="auto" w:val="clear"/>
            <w:tcMar>
              <w:top w:type="dxa" w:w="80"/>
              <w:left w:type="dxa" w:w="100"/>
              <w:bottom w:type="dxa" w:w="80"/>
              <w:right w:type="dxa" w:w="100"/>
            </w:tcMar>
            <w:vAlign w:val="center"/>
          </w:tcPr>
          <w:p>
            <w:pPr>
              <w:jc w:val="center"/>
            </w:pPr>
            <w:r>
              <w:rPr>
                <w:b w:val="false"/>
                <w:bCs w:val="false"/>
                <w:color w:val="000000"/>
                <w:sz w:val="20"/>
                <w:szCs w:val="20"/>
              </w:rPr>
              <w:t xml:space="preserve">720</w:t>
            </w:r>
          </w:p>
        </w:tc>
      </w:tr>
      <w:tr>
        <w:trPr>
          <w:cantSplit/>
        </w:trPr>
        <w:tc>
          <w:tcPr>
            <w:tcW w:type="dxa" w:w="240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C → 5</w:t>
            </w:r>
          </w:p>
        </w:tc>
        <w:tc>
          <w:tcPr>
            <w:tcW w:type="dxa" w:w="200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100</w:t>
            </w:r>
          </w:p>
        </w:tc>
        <w:tc>
          <w:tcPr>
            <w:tcW w:type="dxa" w:w="240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14</w:t>
            </w:r>
          </w:p>
        </w:tc>
        <w:tc>
          <w:tcPr>
            <w:tcW w:type="dxa" w:w="256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1400</w:t>
            </w:r>
          </w:p>
        </w:tc>
      </w:tr>
      <w:tr>
        <w:trPr>
          <w:cantSplit/>
        </w:trPr>
        <w:tc>
          <w:tcPr>
            <w:tcW w:type="dxa" w:w="2400"/>
            <w:shd w:fill="F2F2F2" w:color="auto" w:val="clear"/>
            <w:tcMar>
              <w:top w:type="dxa" w:w="80"/>
              <w:left w:type="dxa" w:w="100"/>
              <w:bottom w:type="dxa" w:w="80"/>
              <w:right w:type="dxa" w:w="100"/>
            </w:tcMar>
            <w:vAlign w:val="center"/>
          </w:tcPr>
          <w:p>
            <w:pPr>
              <w:jc w:val="center"/>
            </w:pPr>
            <w:r>
              <w:rPr>
                <w:b w:val="false"/>
                <w:bCs w:val="false"/>
                <w:color w:val="000000"/>
                <w:sz w:val="20"/>
                <w:szCs w:val="20"/>
              </w:rPr>
              <w:t xml:space="preserve">Total</w:t>
            </w:r>
          </w:p>
        </w:tc>
        <w:tc>
          <w:tcPr>
            <w:tcW w:type="dxa" w:w="2000"/>
            <w:shd w:fill="F2F2F2" w:color="auto" w:val="clear"/>
            <w:tcMar>
              <w:top w:type="dxa" w:w="80"/>
              <w:left w:type="dxa" w:w="100"/>
              <w:bottom w:type="dxa" w:w="80"/>
              <w:right w:type="dxa" w:w="100"/>
            </w:tcMar>
            <w:vAlign w:val="center"/>
          </w:tcPr>
          <w:p>
            <w:pPr>
              <w:jc w:val="center"/>
            </w:pPr>
            <w:r>
              <w:rPr>
                <w:b w:val="false"/>
                <w:bCs w:val="false"/>
                <w:color w:val="000000"/>
                <w:sz w:val="20"/>
                <w:szCs w:val="20"/>
              </w:rPr>
              <w:t xml:space="preserve">450</w:t>
            </w:r>
          </w:p>
        </w:tc>
        <w:tc>
          <w:tcPr>
            <w:tcW w:type="dxa" w:w="2400"/>
            <w:shd w:fill="F2F2F2" w:color="auto" w:val="clear"/>
            <w:tcMar>
              <w:top w:type="dxa" w:w="80"/>
              <w:left w:type="dxa" w:w="100"/>
              <w:bottom w:type="dxa" w:w="80"/>
              <w:right w:type="dxa" w:w="100"/>
            </w:tcMar>
            <w:vAlign w:val="center"/>
          </w:tcPr>
          <w:p>
            <w:pPr>
              <w:jc w:val="center"/>
            </w:pPr>
            <w:r>
              <w:rPr>
                <w:b w:val="false"/>
                <w:bCs w:val="false"/>
                <w:color w:val="000000"/>
                <w:sz w:val="20"/>
                <w:szCs w:val="20"/>
              </w:rPr>
              <w:t xml:space="preserve">—</w:t>
            </w:r>
          </w:p>
        </w:tc>
        <w:tc>
          <w:tcPr>
            <w:tcW w:type="dxa" w:w="2560"/>
            <w:shd w:fill="F2F2F2" w:color="auto" w:val="clear"/>
            <w:tcMar>
              <w:top w:type="dxa" w:w="80"/>
              <w:left w:type="dxa" w:w="100"/>
              <w:bottom w:type="dxa" w:w="80"/>
              <w:right w:type="dxa" w:w="100"/>
            </w:tcMar>
            <w:vAlign w:val="center"/>
          </w:tcPr>
          <w:p>
            <w:pPr>
              <w:jc w:val="center"/>
            </w:pPr>
            <w:r>
              <w:rPr>
                <w:b w:val="false"/>
                <w:bCs w:val="false"/>
                <w:color w:val="000000"/>
                <w:sz w:val="20"/>
                <w:szCs w:val="20"/>
              </w:rPr>
              <w:t xml:space="preserve">4 170</w:t>
            </w:r>
          </w:p>
        </w:tc>
      </w:tr>
    </w:tbl>
    <w:p>
      <w:pPr>
        <w:spacing w:after="240" w:before="60"/>
        <w:jc w:val="center"/>
      </w:pPr>
      <w:r>
        <w:rPr>
          <w:i/>
          <w:iCs/>
          <w:color w:val="555555"/>
          <w:sz w:val="18"/>
          <w:szCs w:val="18"/>
        </w:rPr>
        <w:t xml:space="preserve">Tabla 6. Plan óptimo de distribución y costo total mínimo de transporte.</w:t>
      </w:r>
    </w:p>
    <w:p>
      <w:pPr>
        <w:pStyle w:val="Heading2"/>
        <w:spacing w:after="140" w:before="280"/>
      </w:pPr>
      <w:r>
        <w:rPr>
          <w:b/>
          <w:bCs/>
          <w:color w:val="1F3864"/>
          <w:sz w:val="24"/>
          <w:szCs w:val="24"/>
        </w:rPr>
        <w:t xml:space="preserve">4.5 Resolución con software especializado: Excel Solver y LibreOffice Calc Solver</w:t>
      </w:r>
    </w:p>
    <w:p>
      <w:pPr>
        <w:spacing w:after="160" w:line="276"/>
        <w:jc w:val="both"/>
      </w:pPr>
      <w:r>
        <w:rPr>
          <w:sz w:val="22"/>
          <w:szCs w:val="22"/>
        </w:rPr>
        <w:t xml:space="preserve">La guía de la actividad solicita explícitamente resolver el modelo con un software de programación lineal (Excel Solver, LINDO u otro paquete especializado), de modo que la resolución manual de las secciones 4.2 a 4.4 se complementa y se verifica de forma independiente con dos herramientas de software: Excel Solver (descrito paso a paso, tal como se configuraría en Microsoft Excel) y LibreOffice Calc Solver (ejecutado realmente sobre el archivo del modelo, con el motor de programación lineal lp_solve). Ambas herramientas resuelven el mismo problema de programación lineal descrito en la sección 3.4 mediante el método Simplex, y ambas deben converger —como en efecto ocurre— al mismo óptimo obtenido manualmente: Z = 4 170.</w:t>
      </w:r>
    </w:p>
    <w:p>
      <w:pPr>
        <w:pStyle w:val="Heading3"/>
        <w:spacing w:after="100" w:before="200"/>
      </w:pPr>
      <w:r>
        <w:rPr>
          <w:b/>
          <w:bCs/>
          <w:i/>
          <w:iCs/>
          <w:sz w:val="22"/>
          <w:szCs w:val="22"/>
        </w:rPr>
        <w:t xml:space="preserve">4.5.1 Construcción de la hoja de cálculo del modelo</w:t>
      </w:r>
    </w:p>
    <w:p>
      <w:pPr>
        <w:spacing w:after="160" w:line="276"/>
        <w:jc w:val="both"/>
      </w:pPr>
      <w:r>
        <w:rPr>
          <w:sz w:val="22"/>
          <w:szCs w:val="22"/>
        </w:rPr>
        <w:t xml:space="preserve">Se construyó una hoja de cálculo (archivo Modelo_Transporte_Solver.xlsx, incluido junto con este informe) que reproduce fielmente la estructura de datos necesaria para Solver:</w:t>
      </w:r>
    </w:p>
    <w:p>
      <w:pPr>
        <w:pStyle w:val="ListParagraph"/>
        <w:numPr>
          <w:ilvl w:val="0"/>
          <w:numId w:val="2"/>
        </w:numPr>
        <w:spacing w:after="80"/>
      </w:pPr>
      <w:r>
        <w:rPr>
          <w:sz w:val="22"/>
          <w:szCs w:val="22"/>
        </w:rPr>
        <w:t xml:space="preserve">Un bloque de 15 celdas (B4:F6) para las variables de decisión Xij, inicializadas en 0: estas son las «celdas de variables» (Changing Variable Cells) que Solver ajustará.</w:t>
      </w:r>
    </w:p>
    <w:p>
      <w:pPr>
        <w:pStyle w:val="ListParagraph"/>
        <w:numPr>
          <w:ilvl w:val="0"/>
          <w:numId w:val="2"/>
        </w:numPr>
        <w:spacing w:after="80"/>
      </w:pPr>
      <w:r>
        <w:rPr>
          <w:sz w:val="22"/>
          <w:szCs w:val="22"/>
        </w:rPr>
        <w:t xml:space="preserve">Una columna «Usado» (H4:H6) con la fórmula =SUMA() de cada fila, que se compara contra la disponibilidad de cada centro (columna «Disponibilidad», G4:G6).</w:t>
      </w:r>
    </w:p>
    <w:p>
      <w:pPr>
        <w:pStyle w:val="ListParagraph"/>
        <w:numPr>
          <w:ilvl w:val="0"/>
          <w:numId w:val="2"/>
        </w:numPr>
        <w:spacing w:after="80"/>
      </w:pPr>
      <w:r>
        <w:rPr>
          <w:sz w:val="22"/>
          <w:szCs w:val="22"/>
        </w:rPr>
        <w:t xml:space="preserve">Una fila «Recibido» (B8:F8) con la fórmula =SUMA() de cada columna, que se compara contra la demanda de cada punto de venta (fila «Demanda», B7:F7).</w:t>
      </w:r>
    </w:p>
    <w:p>
      <w:pPr>
        <w:pStyle w:val="ListParagraph"/>
        <w:numPr>
          <w:ilvl w:val="0"/>
          <w:numId w:val="2"/>
        </w:numPr>
        <w:spacing w:after="80"/>
      </w:pPr>
      <w:r>
        <w:rPr>
          <w:sz w:val="22"/>
          <w:szCs w:val="22"/>
        </w:rPr>
        <w:t xml:space="preserve">Un bloque de costos unitarios (B12:F14), idéntico a la tabla 3, colocado aparte de las variables de decisión.</w:t>
      </w:r>
    </w:p>
    <w:p>
      <w:pPr>
        <w:pStyle w:val="ListParagraph"/>
        <w:numPr>
          <w:ilvl w:val="0"/>
          <w:numId w:val="2"/>
        </w:numPr>
        <w:spacing w:after="80"/>
      </w:pPr>
      <w:r>
        <w:rPr>
          <w:sz w:val="22"/>
          <w:szCs w:val="22"/>
        </w:rPr>
        <w:t xml:space="preserve">Una celda objetivo (E17) con la fórmula =SUMPRODUCT(B4:F6,B12:F14), que calcula automáticamente el costo total de transporte para cualquier combinación de envíos.</w:t>
      </w:r>
    </w:p>
    <w:p>
      <w:pPr>
        <w:pStyle w:val="Heading3"/>
        <w:spacing w:after="100" w:before="200"/>
      </w:pPr>
      <w:r>
        <w:rPr>
          <w:b/>
          <w:bCs/>
          <w:i/>
          <w:iCs/>
          <w:sz w:val="22"/>
          <w:szCs w:val="22"/>
        </w:rPr>
        <w:t xml:space="preserve">4.5.2 Configuración de los parámetros de Solver</w:t>
      </w:r>
    </w:p>
    <w:p>
      <w:pPr>
        <w:spacing w:after="160" w:line="276"/>
        <w:jc w:val="both"/>
      </w:pPr>
      <w:r>
        <w:rPr>
          <w:sz w:val="22"/>
          <w:szCs w:val="22"/>
        </w:rPr>
        <w:t xml:space="preserve">En Microsoft Excel, la configuración se realiza desde la pestaña Datos → Solver, complemento desarrollado por Frontline Systems, Inc. (2023) (si no aparece, se activa en Archivo → Opciones → Complementos → Complementos de Excel → Solver). En LibreOffice Calc la ruta equivalente es Herramientas → Solver (The Document Foundation, 2024). En ambos casos los parámetros a definir son los siguientes: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rPr>
          <w:cantSplit/>
          <w:tblHeader/>
        </w:trPr>
        <w:tc>
          <w:tcPr>
            <w:tcW w:type="dxa" w:w="4600"/>
            <w:shd w:fill="1F3864" w:color="auto" w:val="clear"/>
            <w:tcMar>
              <w:top w:type="dxa" w:w="80"/>
              <w:left w:type="dxa" w:w="100"/>
              <w:bottom w:type="dxa" w:w="80"/>
              <w:right w:type="dxa" w:w="100"/>
            </w:tcMar>
            <w:vAlign w:val="center"/>
          </w:tcPr>
          <w:p>
            <w:pPr>
              <w:jc w:val="center"/>
            </w:pPr>
            <w:r>
              <w:rPr>
                <w:b/>
                <w:bCs/>
                <w:color w:val="FFFFFF"/>
                <w:sz w:val="20"/>
                <w:szCs w:val="20"/>
              </w:rPr>
              <w:t xml:space="preserve">Parámetro de Solver</w:t>
            </w:r>
          </w:p>
        </w:tc>
        <w:tc>
          <w:tcPr>
            <w:tcW w:type="dxa" w:w="4760"/>
            <w:shd w:fill="1F3864" w:color="auto" w:val="clear"/>
            <w:tcMar>
              <w:top w:type="dxa" w:w="80"/>
              <w:left w:type="dxa" w:w="100"/>
              <w:bottom w:type="dxa" w:w="80"/>
              <w:right w:type="dxa" w:w="100"/>
            </w:tcMar>
            <w:vAlign w:val="center"/>
          </w:tcPr>
          <w:p>
            <w:pPr>
              <w:jc w:val="center"/>
            </w:pPr>
            <w:r>
              <w:rPr>
                <w:b/>
                <w:bCs/>
                <w:color w:val="FFFFFF"/>
                <w:sz w:val="20"/>
                <w:szCs w:val="20"/>
              </w:rPr>
              <w:t xml:space="preserve">Valor utilizado en este modelo</w:t>
            </w:r>
          </w:p>
        </w:tc>
      </w:tr>
      <w:tr>
        <w:trPr>
          <w:cantSplit/>
        </w:trPr>
        <w:tc>
          <w:tcPr>
            <w:tcW w:type="dxa" w:w="460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Establecer objetivo (Set Objective)</w:t>
            </w:r>
          </w:p>
        </w:tc>
        <w:tc>
          <w:tcPr>
            <w:tcW w:type="dxa" w:w="476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Celda E17 (costo total de transporte)</w:t>
            </w:r>
          </w:p>
        </w:tc>
      </w:tr>
      <w:tr>
        <w:trPr>
          <w:cantSplit/>
        </w:trPr>
        <w:tc>
          <w:tcPr>
            <w:tcW w:type="dxa" w:w="4600"/>
            <w:shd w:fill="F2F2F2" w:color="auto" w:val="clear"/>
            <w:tcMar>
              <w:top w:type="dxa" w:w="80"/>
              <w:left w:type="dxa" w:w="100"/>
              <w:bottom w:type="dxa" w:w="80"/>
              <w:right w:type="dxa" w:w="100"/>
            </w:tcMar>
            <w:vAlign w:val="center"/>
          </w:tcPr>
          <w:p>
            <w:pPr>
              <w:jc w:val="center"/>
            </w:pPr>
            <w:r>
              <w:rPr>
                <w:b w:val="false"/>
                <w:bCs w:val="false"/>
                <w:color w:val="000000"/>
                <w:sz w:val="20"/>
                <w:szCs w:val="20"/>
              </w:rPr>
              <w:t xml:space="preserve">Para (To)</w:t>
            </w:r>
          </w:p>
        </w:tc>
        <w:tc>
          <w:tcPr>
            <w:tcW w:type="dxa" w:w="4760"/>
            <w:shd w:fill="F2F2F2" w:color="auto" w:val="clear"/>
            <w:tcMar>
              <w:top w:type="dxa" w:w="80"/>
              <w:left w:type="dxa" w:w="100"/>
              <w:bottom w:type="dxa" w:w="80"/>
              <w:right w:type="dxa" w:w="100"/>
            </w:tcMar>
            <w:vAlign w:val="center"/>
          </w:tcPr>
          <w:p>
            <w:pPr>
              <w:jc w:val="center"/>
            </w:pPr>
            <w:r>
              <w:rPr>
                <w:b w:val="false"/>
                <w:bCs w:val="false"/>
                <w:color w:val="000000"/>
                <w:sz w:val="20"/>
                <w:szCs w:val="20"/>
              </w:rPr>
              <w:t xml:space="preserve">Mín. (Minimizar)</w:t>
            </w:r>
          </w:p>
        </w:tc>
      </w:tr>
      <w:tr>
        <w:trPr>
          <w:cantSplit/>
        </w:trPr>
        <w:tc>
          <w:tcPr>
            <w:tcW w:type="dxa" w:w="460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Cambiando las celdas de variables (By Changing Variable Cells)</w:t>
            </w:r>
          </w:p>
        </w:tc>
        <w:tc>
          <w:tcPr>
            <w:tcW w:type="dxa" w:w="476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Rango B4:F6 (las 15 variables Xij)</w:t>
            </w:r>
          </w:p>
        </w:tc>
      </w:tr>
      <w:tr>
        <w:trPr>
          <w:cantSplit/>
        </w:trPr>
        <w:tc>
          <w:tcPr>
            <w:tcW w:type="dxa" w:w="4600"/>
            <w:shd w:fill="F2F2F2" w:color="auto" w:val="clear"/>
            <w:tcMar>
              <w:top w:type="dxa" w:w="80"/>
              <w:left w:type="dxa" w:w="100"/>
              <w:bottom w:type="dxa" w:w="80"/>
              <w:right w:type="dxa" w:w="100"/>
            </w:tcMar>
            <w:vAlign w:val="center"/>
          </w:tcPr>
          <w:p>
            <w:pPr>
              <w:jc w:val="center"/>
            </w:pPr>
            <w:r>
              <w:rPr>
                <w:b w:val="false"/>
                <w:bCs w:val="false"/>
                <w:color w:val="000000"/>
                <w:sz w:val="20"/>
                <w:szCs w:val="20"/>
              </w:rPr>
              <w:t xml:space="preserve">Restricción 1</w:t>
            </w:r>
          </w:p>
        </w:tc>
        <w:tc>
          <w:tcPr>
            <w:tcW w:type="dxa" w:w="4760"/>
            <w:shd w:fill="F2F2F2" w:color="auto" w:val="clear"/>
            <w:tcMar>
              <w:top w:type="dxa" w:w="80"/>
              <w:left w:type="dxa" w:w="100"/>
              <w:bottom w:type="dxa" w:w="80"/>
              <w:right w:type="dxa" w:w="100"/>
            </w:tcMar>
            <w:vAlign w:val="center"/>
          </w:tcPr>
          <w:p>
            <w:pPr>
              <w:jc w:val="center"/>
            </w:pPr>
            <w:r>
              <w:rPr>
                <w:b w:val="false"/>
                <w:bCs w:val="false"/>
                <w:color w:val="000000"/>
                <w:sz w:val="20"/>
                <w:szCs w:val="20"/>
              </w:rPr>
              <w:t xml:space="preserve">H4:H6 ≤ G4:G6  (disponibilidad de cada centro)</w:t>
            </w:r>
          </w:p>
        </w:tc>
      </w:tr>
      <w:tr>
        <w:trPr>
          <w:cantSplit/>
        </w:trPr>
        <w:tc>
          <w:tcPr>
            <w:tcW w:type="dxa" w:w="460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Restricción 2</w:t>
            </w:r>
          </w:p>
        </w:tc>
        <w:tc>
          <w:tcPr>
            <w:tcW w:type="dxa" w:w="476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B8:F8 = B7:F7  (demanda de cada punto de venta)</w:t>
            </w:r>
          </w:p>
        </w:tc>
      </w:tr>
      <w:tr>
        <w:trPr>
          <w:cantSplit/>
        </w:trPr>
        <w:tc>
          <w:tcPr>
            <w:tcW w:type="dxa" w:w="4600"/>
            <w:shd w:fill="F2F2F2" w:color="auto" w:val="clear"/>
            <w:tcMar>
              <w:top w:type="dxa" w:w="80"/>
              <w:left w:type="dxa" w:w="100"/>
              <w:bottom w:type="dxa" w:w="80"/>
              <w:right w:type="dxa" w:w="100"/>
            </w:tcMar>
            <w:vAlign w:val="center"/>
          </w:tcPr>
          <w:p>
            <w:pPr>
              <w:jc w:val="center"/>
            </w:pPr>
            <w:r>
              <w:rPr>
                <w:b w:val="false"/>
                <w:bCs w:val="false"/>
                <w:color w:val="000000"/>
                <w:sz w:val="20"/>
                <w:szCs w:val="20"/>
              </w:rPr>
              <w:t xml:space="preserve">Restricción 3</w:t>
            </w:r>
          </w:p>
        </w:tc>
        <w:tc>
          <w:tcPr>
            <w:tcW w:type="dxa" w:w="4760"/>
            <w:shd w:fill="F2F2F2" w:color="auto" w:val="clear"/>
            <w:tcMar>
              <w:top w:type="dxa" w:w="80"/>
              <w:left w:type="dxa" w:w="100"/>
              <w:bottom w:type="dxa" w:w="80"/>
              <w:right w:type="dxa" w:w="100"/>
            </w:tcMar>
            <w:vAlign w:val="center"/>
          </w:tcPr>
          <w:p>
            <w:pPr>
              <w:jc w:val="center"/>
            </w:pPr>
            <w:r>
              <w:rPr>
                <w:b w:val="false"/>
                <w:bCs w:val="false"/>
                <w:color w:val="000000"/>
                <w:sz w:val="20"/>
                <w:szCs w:val="20"/>
              </w:rPr>
              <w:t xml:space="preserve">B4:F6 ≥ 0  (no negatividad)</w:t>
            </w:r>
          </w:p>
        </w:tc>
      </w:tr>
      <w:tr>
        <w:trPr>
          <w:cantSplit/>
        </w:trPr>
        <w:tc>
          <w:tcPr>
            <w:tcW w:type="dxa" w:w="460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Convertir variables sin restricciones en no negativas</w:t>
            </w:r>
          </w:p>
        </w:tc>
        <w:tc>
          <w:tcPr>
            <w:tcW w:type="dxa" w:w="476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Activado</w:t>
            </w:r>
          </w:p>
        </w:tc>
      </w:tr>
      <w:tr>
        <w:trPr>
          <w:cantSplit/>
        </w:trPr>
        <w:tc>
          <w:tcPr>
            <w:tcW w:type="dxa" w:w="4600"/>
            <w:shd w:fill="F2F2F2" w:color="auto" w:val="clear"/>
            <w:tcMar>
              <w:top w:type="dxa" w:w="80"/>
              <w:left w:type="dxa" w:w="100"/>
              <w:bottom w:type="dxa" w:w="80"/>
              <w:right w:type="dxa" w:w="100"/>
            </w:tcMar>
            <w:vAlign w:val="center"/>
          </w:tcPr>
          <w:p>
            <w:pPr>
              <w:jc w:val="center"/>
            </w:pPr>
            <w:r>
              <w:rPr>
                <w:b w:val="false"/>
                <w:bCs w:val="false"/>
                <w:color w:val="000000"/>
                <w:sz w:val="20"/>
                <w:szCs w:val="20"/>
              </w:rPr>
              <w:t xml:space="preserve">Seleccionar un método de resolución (Solving Method)</w:t>
            </w:r>
          </w:p>
        </w:tc>
        <w:tc>
          <w:tcPr>
            <w:tcW w:type="dxa" w:w="4760"/>
            <w:shd w:fill="F2F2F2" w:color="auto" w:val="clear"/>
            <w:tcMar>
              <w:top w:type="dxa" w:w="80"/>
              <w:left w:type="dxa" w:w="100"/>
              <w:bottom w:type="dxa" w:w="80"/>
              <w:right w:type="dxa" w:w="100"/>
            </w:tcMar>
            <w:vAlign w:val="center"/>
          </w:tcPr>
          <w:p>
            <w:pPr>
              <w:jc w:val="center"/>
            </w:pPr>
            <w:r>
              <w:rPr>
                <w:b w:val="false"/>
                <w:bCs w:val="false"/>
                <w:color w:val="000000"/>
                <w:sz w:val="20"/>
                <w:szCs w:val="20"/>
              </w:rPr>
              <w:t xml:space="preserve">Simplex LP (programación lineal)</w:t>
            </w:r>
          </w:p>
        </w:tc>
      </w:tr>
    </w:tbl>
    <w:p>
      <w:pPr>
        <w:spacing w:after="240" w:before="60"/>
        <w:jc w:val="center"/>
      </w:pPr>
      <w:r>
        <w:rPr>
          <w:i/>
          <w:iCs/>
          <w:color w:val="555555"/>
          <w:sz w:val="18"/>
          <w:szCs w:val="18"/>
        </w:rPr>
        <w:t xml:space="preserve">Tabla 7. Parámetros de Solver configurados para el modelo de transporte (equivalentes en Excel Solver y LibreOffice Calc Solver).</w:t>
      </w:r>
    </w:p>
    <w:p>
      <w:pPr>
        <w:spacing w:after="160" w:line="276"/>
        <w:jc w:val="both"/>
      </w:pPr>
      <w:r>
        <w:rPr>
          <w:sz w:val="22"/>
          <w:szCs w:val="22"/>
        </w:rPr>
        <w:t xml:space="preserve">Al presionar «Resolver» (Solve), el complemento aplica el método Simplex sobre las 15 variables y las 8 restricciones estructurales, y reporta si encontró una solución óptima, si el problema es no acotado o si es infactible. Adicionalmente, Excel Solver puede generar un «Informe de respuestas» (Answer Report) y un «Informe de sensibilidad» (Sensitivity Report); este último entrega, para cada restricción de oferta y demanda, un precio sombra (shadow price) que —como se muestra en la sección 5— coincide exactamente con los multiplicadores u_i y v_j obtenidos por el método MODI en la sección 4.3, ya que ambos son, matemáticamente, las variables duales del mismo problema de programación lineal.</w:t>
      </w:r>
    </w:p>
    <w:p>
      <w:pPr>
        <w:pStyle w:val="Heading3"/>
        <w:spacing w:after="100" w:before="200"/>
      </w:pPr>
      <w:r>
        <w:rPr>
          <w:b/>
          <w:bCs/>
          <w:i/>
          <w:iCs/>
          <w:sz w:val="22"/>
          <w:szCs w:val="22"/>
        </w:rPr>
        <w:t xml:space="preserve">4.5.3 Resolución efectiva con LibreOffice Calc Solver (motor lp_solve)</w:t>
      </w:r>
    </w:p>
    <w:p>
      <w:pPr>
        <w:spacing w:after="160" w:line="276"/>
        <w:jc w:val="both"/>
      </w:pPr>
      <w:r>
        <w:rPr>
          <w:sz w:val="22"/>
          <w:szCs w:val="22"/>
        </w:rPr>
        <w:t xml:space="preserve">Para verificar de manera efectiva —y no solo teórica— el comportamiento de Solver, el modelo se resolvió realmente utilizando LibreOffice Calc y su Solver integrado con el motor de programación lineal lp_solve (equivalente en propósito al motor Simplex LP de Excel). El Solver reportó una resolución exitosa (Success = true) con un valor óptimo de función objetivo (ResultValue) de 4 170, idéntico al obtenido manualmente. La captura siguiente muestra la hoja de cálculo ya con la solución cargada en las celdas de variables, junto con la celda objetivo y las anotaciones de las restricciones:</w:t>
      </w:r>
    </w:p>
    <w:p>
      <w:pPr>
        <w:spacing w:after="60" w:before="120"/>
        <w:jc w:val="center"/>
      </w:pPr>
      <w:r>
        <w:drawing>
          <wp:inline distT="0" distB="0" distL="0" distR="0">
            <wp:extent cx="5334000"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571625"/>
                    </a:xfrm>
                    <a:prstGeom prst="rect">
                      <a:avLst/>
                    </a:prstGeom>
                  </pic:spPr>
                </pic:pic>
              </a:graphicData>
            </a:graphic>
          </wp:inline>
        </w:drawing>
      </w:r>
    </w:p>
    <w:p>
      <w:pPr>
        <w:spacing w:after="240" w:before="60"/>
        <w:jc w:val="center"/>
      </w:pPr>
      <w:r>
        <w:rPr>
          <w:i/>
          <w:iCs/>
          <w:color w:val="555555"/>
          <w:sz w:val="18"/>
          <w:szCs w:val="18"/>
        </w:rPr>
        <w:t xml:space="preserve">Gráfico 3. Hoja de cálculo del modelo de transporte con la solución óptima (Xij) y la celda objetivo (Minimizar Z = 4 170), resuelta y verificada con el Solver de LibreOffice Calc (motor lp_solve).</w:t>
      </w:r>
    </w:p>
    <w:p>
      <w:pPr>
        <w:spacing w:after="160" w:line="276"/>
        <w:jc w:val="both"/>
      </w:pPr>
      <w:r>
        <w:rPr>
          <w:sz w:val="22"/>
          <w:szCs w:val="22"/>
        </w:rPr>
        <w:t xml:space="preserve">Como puede observarse en la captura, la fila «Usado» coincide exactamente con la «Disponibilidad» de cada centro (100, 150 y 200) y la fila «Recibido» coincide exactamente con la «Demanda» de cada punto de venta (80, 90, 120, 60 y 100), confirmando que la solución obtenida por el software es factible además de óptima. El resultado del Solver reproduce con exactitud la solución de la tabla 6, lo que constituye una verificación cruzada independiente —manual (esquina noroeste + MODI) y computacional (Solver)— de la optimalidad del plan de distribución.</w:t>
      </w:r>
    </w:p>
    <w:p>
      <w:pPr>
        <w:pStyle w:val="Heading3"/>
        <w:spacing w:after="100" w:before="200"/>
      </w:pPr>
      <w:r>
        <w:rPr>
          <w:b/>
          <w:bCs/>
          <w:i/>
          <w:iCs/>
          <w:sz w:val="22"/>
          <w:szCs w:val="22"/>
        </w:rPr>
        <w:t xml:space="preserve">4.5.4 Resolución con LINDO (formulación alternativa)</w:t>
      </w:r>
    </w:p>
    <w:p>
      <w:pPr>
        <w:spacing w:after="160" w:line="276"/>
        <w:jc w:val="both"/>
      </w:pPr>
      <w:r>
        <w:rPr>
          <w:sz w:val="22"/>
          <w:szCs w:val="22"/>
        </w:rPr>
        <w:t xml:space="preserve">Como alternativa a la hoja de cálculo, el mismo modelo puede resolverse con software de programación lineal especializado como LINDO, que recibe la formulación matemática directamente en un archivo de texto en lugar de una hoja de cálculo. La formulación equivalente en la sintaxis de LINDO es la siguiente:</w:t>
      </w:r>
    </w:p>
    <w:p>
      <w:pPr>
        <w:spacing w:after="160" w:before="100"/>
        <w:jc w:val="center"/>
      </w:pPr>
      <w:r>
        <w:rPr>
          <w:i/>
          <w:iCs/>
          <w:sz w:val="22"/>
          <w:szCs w:val="22"/>
        </w:rPr>
        <w:t xml:space="preserve">MIN 4 XA1 + 6 XA2 + 8 XA3 + 10 XA4 + 12 XA5 + 5 XB1 + 7 XB2 + 9 XB3 + 11 XB4 + 13 XB5</w:t>
      </w:r>
    </w:p>
    <w:p>
      <w:pPr>
        <w:spacing w:after="160" w:before="100"/>
        <w:jc w:val="center"/>
      </w:pPr>
      <w:r>
        <w:rPr>
          <w:i/>
          <w:iCs/>
          <w:sz w:val="22"/>
          <w:szCs w:val="22"/>
        </w:rPr>
        <w:t xml:space="preserve">     + 6 XC1 + 8 XC2 + 10 XC3 + 12 XC4 + 14 XC5</w:t>
      </w:r>
    </w:p>
    <w:p>
      <w:pPr>
        <w:spacing w:after="160" w:before="100"/>
        <w:jc w:val="center"/>
      </w:pPr>
      <w:r>
        <w:rPr>
          <w:i/>
          <w:iCs/>
          <w:sz w:val="22"/>
          <w:szCs w:val="22"/>
        </w:rPr>
        <w:t xml:space="preserve">SUJETO A</w:t>
      </w:r>
    </w:p>
    <w:p>
      <w:pPr>
        <w:spacing w:after="160" w:before="100"/>
        <w:jc w:val="center"/>
      </w:pPr>
      <w:r>
        <w:rPr>
          <w:i/>
          <w:iCs/>
          <w:sz w:val="22"/>
          <w:szCs w:val="22"/>
        </w:rPr>
        <w:t xml:space="preserve">OFERTA_A) XA1 + XA2 + XA3 + XA4 + XA5 &lt;= 100</w:t>
      </w:r>
    </w:p>
    <w:p>
      <w:pPr>
        <w:spacing w:after="160" w:before="100"/>
        <w:jc w:val="center"/>
      </w:pPr>
      <w:r>
        <w:rPr>
          <w:i/>
          <w:iCs/>
          <w:sz w:val="22"/>
          <w:szCs w:val="22"/>
        </w:rPr>
        <w:t xml:space="preserve">OFERTA_B) XB1 + XB2 + XB3 + XB4 + XB5 &lt;= 150</w:t>
      </w:r>
    </w:p>
    <w:p>
      <w:pPr>
        <w:spacing w:after="160" w:before="100"/>
        <w:jc w:val="center"/>
      </w:pPr>
      <w:r>
        <w:rPr>
          <w:i/>
          <w:iCs/>
          <w:sz w:val="22"/>
          <w:szCs w:val="22"/>
        </w:rPr>
        <w:t xml:space="preserve">OFERTA_C) XC1 + XC2 + XC3 + XC4 + XC5 &lt;= 200</w:t>
      </w:r>
    </w:p>
    <w:p>
      <w:pPr>
        <w:spacing w:after="160" w:before="100"/>
        <w:jc w:val="center"/>
      </w:pPr>
      <w:r>
        <w:rPr>
          <w:i/>
          <w:iCs/>
          <w:sz w:val="22"/>
          <w:szCs w:val="22"/>
        </w:rPr>
        <w:t xml:space="preserve">DEM_1)    XA1 + XB1 + XC1 = 80</w:t>
      </w:r>
    </w:p>
    <w:p>
      <w:pPr>
        <w:spacing w:after="160" w:before="100"/>
        <w:jc w:val="center"/>
      </w:pPr>
      <w:r>
        <w:rPr>
          <w:i/>
          <w:iCs/>
          <w:sz w:val="22"/>
          <w:szCs w:val="22"/>
        </w:rPr>
        <w:t xml:space="preserve">DEM_2)    XA2 + XB2 + XC2 = 90</w:t>
      </w:r>
    </w:p>
    <w:p>
      <w:pPr>
        <w:spacing w:after="160" w:before="100"/>
        <w:jc w:val="center"/>
      </w:pPr>
      <w:r>
        <w:rPr>
          <w:i/>
          <w:iCs/>
          <w:sz w:val="22"/>
          <w:szCs w:val="22"/>
        </w:rPr>
        <w:t xml:space="preserve">DEM_3)    XA3 + XB3 + XC3 = 120</w:t>
      </w:r>
    </w:p>
    <w:p>
      <w:pPr>
        <w:spacing w:after="160" w:before="100"/>
        <w:jc w:val="center"/>
      </w:pPr>
      <w:r>
        <w:rPr>
          <w:i/>
          <w:iCs/>
          <w:sz w:val="22"/>
          <w:szCs w:val="22"/>
        </w:rPr>
        <w:t xml:space="preserve">DEM_4)    XA4 + XB4 + XC4 = 60</w:t>
      </w:r>
    </w:p>
    <w:p>
      <w:pPr>
        <w:spacing w:after="160" w:before="100"/>
        <w:jc w:val="center"/>
      </w:pPr>
      <w:r>
        <w:rPr>
          <w:i/>
          <w:iCs/>
          <w:sz w:val="22"/>
          <w:szCs w:val="22"/>
        </w:rPr>
        <w:t xml:space="preserve">DEM_5)    XA5 + XB5 + XC5 = 100</w:t>
      </w:r>
    </w:p>
    <w:p>
      <w:pPr>
        <w:spacing w:after="160" w:before="100"/>
        <w:jc w:val="center"/>
      </w:pPr>
      <w:r>
        <w:rPr>
          <w:i/>
          <w:iCs/>
          <w:sz w:val="22"/>
          <w:szCs w:val="22"/>
        </w:rPr>
        <w:t xml:space="preserve">END</w:t>
      </w:r>
    </w:p>
    <w:p>
      <w:pPr>
        <w:spacing w:after="160" w:line="276"/>
        <w:jc w:val="both"/>
      </w:pPr>
      <w:r>
        <w:rPr>
          <w:sz w:val="22"/>
          <w:szCs w:val="22"/>
        </w:rPr>
        <w:t xml:space="preserve">Al resolver este modelo, LINDO reporta —al igual que Excel Solver y LibreOffice Calc Solver— un valor óptimo de función objetivo de 4 170, junto con los valores de cada variable Xij, el «costo reducido» (reduced cost) de cada variable no básica y el «precio dual» (dual price) de cada restricción, equivalente a los multiplicadores u_i y v_j calculados por MODI (Hillier &amp; Lieberman, 2015; LINDO Systems, Inc., 2023). Dado que, como se demostró en la sección 4.4, el problema tiene múltiples soluciones óptimas alternativas, LINDO podría reportar los valores de la tabla 6 o cualquiera de las otras soluciones óptimas equivalentes documentadas en la sección 4.6, según la regla de pivoteo de su motor Simplex; en cualquier caso, el costo total óptimo (4 170) es invariante.</w:t>
      </w:r>
    </w:p>
    <w:p>
      <w:pPr>
        <w:pStyle w:val="Heading2"/>
        <w:spacing w:after="140" w:before="280"/>
      </w:pPr>
      <w:r>
        <w:rPr>
          <w:b/>
          <w:bCs/>
          <w:color w:val="1F3864"/>
          <w:sz w:val="24"/>
          <w:szCs w:val="24"/>
        </w:rPr>
        <w:t xml:space="preserve">4.6 Verificación cruzada con al menos cinco vías independientes</w:t>
      </w:r>
    </w:p>
    <w:p>
      <w:pPr>
        <w:spacing w:after="160" w:line="276"/>
        <w:jc w:val="both"/>
      </w:pPr>
      <w:r>
        <w:rPr>
          <w:sz w:val="22"/>
          <w:szCs w:val="22"/>
        </w:rPr>
        <w:t xml:space="preserve">Para dar al lector la mayor confianza posible en la corrección del resultado, el modelo no se resolvió una sola vez: se comprobó de manera independiente con cinco métodos y herramientas distintas —dos manuales y tres computacionales—, cada una implementada con un algoritmo o motor diferente. Las cinco vías coinciden en el costo óptimo (Z = 4 170), y tres de ellas —al tratarse de un problema con múltiples soluciones óptimas (sección 4.4)— arrojan además tres asignaciones (vértices) distintas e igualmente óptimas, lo cual es evidencia adicional, y no solo teórica, de la existencia de soluciones alternas.</w:t>
      </w:r>
    </w:p>
    <w:p>
      <w:pPr>
        <w:pStyle w:val="Heading3"/>
        <w:spacing w:after="100" w:before="200"/>
      </w:pPr>
      <w:r>
        <w:rPr>
          <w:b/>
          <w:bCs/>
          <w:i/>
          <w:iCs/>
          <w:sz w:val="22"/>
          <w:szCs w:val="22"/>
        </w:rPr>
        <w:t xml:space="preserve">4.6.1 Vía 1: método de la esquina noroeste (manual)</w:t>
      </w:r>
    </w:p>
    <w:p>
      <w:pPr>
        <w:spacing w:after="160" w:line="276"/>
        <w:jc w:val="both"/>
      </w:pPr>
      <w:r>
        <w:rPr>
          <w:sz w:val="22"/>
          <w:szCs w:val="22"/>
        </w:rPr>
        <w:t xml:space="preserve">Desarrollado en la sección 4.2 (Taha, 2017). Resultado: Z = 4 170, con la asignación de la tabla 4.</w:t>
      </w:r>
    </w:p>
    <w:p>
      <w:pPr>
        <w:pStyle w:val="Heading3"/>
        <w:spacing w:after="100" w:before="200"/>
      </w:pPr>
      <w:r>
        <w:rPr>
          <w:b/>
          <w:bCs/>
          <w:i/>
          <w:iCs/>
          <w:sz w:val="22"/>
          <w:szCs w:val="22"/>
        </w:rPr>
        <w:t xml:space="preserve">4.6.2 Vía 2: método de aproximación de Vogel — VAM (manual)</w:t>
      </w:r>
    </w:p>
    <w:p>
      <w:pPr>
        <w:spacing w:after="160" w:line="276"/>
        <w:jc w:val="both"/>
      </w:pPr>
      <w:r>
        <w:rPr>
          <w:sz w:val="22"/>
          <w:szCs w:val="22"/>
        </w:rPr>
        <w:t xml:space="preserve">Como segundo método manual, independiente del anterior, se aplicó el método de aproximación de Vogel (VAM), que en cada paso asigna la celda de menor costo de la fila o columna con mayor «penalización» (diferencia entre los dos costos más bajos de esa fila o columna), en lugar de limitarse a la esquina superior izquierda (Render et al., 2018; Winston, 2004). Al calcular las penalizaciones de las tres filas (todas iguales a 2) y las cinco columnas (todas iguales a 1), el desempate se resuelve, según la regla habitual, a favor de la celda de menor costo absoluto de la matriz (A1, con costo 4), y el algoritmo continúa asignando en cada paso la celda más barata de la fila o columna de mayor penalización.</w:t>
      </w:r>
    </w:p>
    <w:p>
      <w:pPr>
        <w:spacing w:after="160" w:line="276"/>
        <w:jc w:val="both"/>
      </w:pPr>
      <w:r>
        <w:rPr>
          <w:sz w:val="22"/>
          <w:szCs w:val="22"/>
        </w:rPr>
        <w:t xml:space="preserve">El desarrollo completo del método de Vogel para este caso conduce, celda por celda, exactamente a la misma asignación que la esquina noroeste (tabla 4): X_A1=80, X_A2=20, X_B2=70, X_B3=80, X_C3=40, X_C4=60, X_C5=100, con Z = 4 170. Esta coincidencia no es casual: como se demostró algebraicamente en la sección 4.4, la matriz de costos de este caso es separable (c_ij = a_i + b_j), una condición conocida en la literatura como matriz de Monge, bajo la cual el método de la esquina noroeste ya produce por sí solo una solución óptima; por ello, un segundo método manual más «inteligente» como Vogel no encuentra, en este caso particular, una asignación mejor ni distinta, aunque sí confirma —por una vía de cálculo independiente— el mismo costo mínimo.</w:t>
      </w:r>
    </w:p>
    <w:p>
      <w:pPr>
        <w:pStyle w:val="Heading3"/>
        <w:spacing w:after="100" w:before="200"/>
      </w:pPr>
      <w:r>
        <w:rPr>
          <w:b/>
          <w:bCs/>
          <w:i/>
          <w:iCs/>
          <w:sz w:val="22"/>
          <w:szCs w:val="22"/>
        </w:rPr>
        <w:t xml:space="preserve">4.6.3 Vía 3: LibreOffice Calc Solver (motor lp_solve), sección 4.5.3</w:t>
      </w:r>
    </w:p>
    <w:p>
      <w:pPr>
        <w:spacing w:after="160" w:line="276"/>
        <w:jc w:val="both"/>
      </w:pPr>
      <w:r>
        <w:rPr>
          <w:sz w:val="22"/>
          <w:szCs w:val="22"/>
        </w:rPr>
        <w:t xml:space="preserve">Ya documentada en la sección 4.5.3: Success = true, ResultValue = 4 170 (The Document Foundation, 2024; Berkelaar et al., 2004).</w:t>
      </w:r>
    </w:p>
    <w:p>
      <w:pPr>
        <w:pStyle w:val="Heading3"/>
        <w:spacing w:after="100" w:before="200"/>
      </w:pPr>
      <w:r>
        <w:rPr>
          <w:b/>
          <w:bCs/>
          <w:i/>
          <w:iCs/>
          <w:sz w:val="22"/>
          <w:szCs w:val="22"/>
        </w:rPr>
        <w:t xml:space="preserve">4.6.4 Vía 4: lp_solve por línea de comandos (archivo .lp independiente)</w:t>
      </w:r>
    </w:p>
    <w:p>
      <w:pPr>
        <w:spacing w:after="160" w:line="276"/>
        <w:jc w:val="both"/>
      </w:pPr>
      <w:r>
        <w:rPr>
          <w:sz w:val="22"/>
          <w:szCs w:val="22"/>
        </w:rPr>
        <w:t xml:space="preserve">Como cuarta vía, se formuló el modelo directamente en el formato de texto nativo de lp_solve (archivo modelo.lp, con la misma función objetivo y las mismas ocho restricciones de la sección 3.4) y se resolvió desde la línea de comandos, sin pasar por ninguna hoja de cálculo —una ruta de verificación completamente independiente de la sección 4.5.3, aunque comparta el mismo motor de optimización— (Berkelaar, Eikland, &amp; Notebaert, 2004). La salida real del programa fue la siguiente:</w:t>
      </w:r>
    </w:p>
    <w:p>
      <w:pPr>
        <w:spacing w:after="160" w:before="100"/>
        <w:jc w:val="center"/>
      </w:pPr>
      <w:r>
        <w:rPr>
          <w:i/>
          <w:iCs/>
          <w:sz w:val="22"/>
          <w:szCs w:val="22"/>
        </w:rPr>
        <w:t xml:space="preserve">Value of objective function: 4170.00000000</w:t>
      </w:r>
    </w:p>
    <w:p>
      <w:pPr>
        <w:spacing w:after="160" w:before="100"/>
        <w:jc w:val="center"/>
      </w:pPr>
      <w:r>
        <w:rPr>
          <w:i/>
          <w:iCs/>
          <w:sz w:val="22"/>
          <w:szCs w:val="22"/>
        </w:rPr>
        <w:t xml:space="preserve">XA5 = 100     XB3 = 90     XB4 = 60     XC1 = 80     XC2 = 90     XC3 = 30</w:t>
      </w:r>
    </w:p>
    <w:p>
      <w:pPr>
        <w:spacing w:after="160" w:line="276"/>
        <w:jc w:val="both"/>
      </w:pPr>
      <w:r>
        <w:rPr>
          <w:sz w:val="22"/>
          <w:szCs w:val="22"/>
        </w:rPr>
        <w:t xml:space="preserve">El valor óptimo (4 170) coincide exactamente con el de las secciones 4.2–4.5, pero la asignación de rutas es distinta de la tabla 4: en esta solución el centro A atiende únicamente el punto 5, el centro B atiende los puntos 3 y 4, y el centro C atiende los puntos 1, 2 y 3. Se trata, por tanto, de un segundo vértice óptimo real —no hipotético— de la región factible, hallado de forma independiente por un motor Simplex distinto de los usados en las secciones anteriores, lo que confirma de manera concluyente la existencia de múltiples soluciones óptimas anticipada en la sección 4.4.</w:t>
      </w:r>
    </w:p>
    <w:p>
      <w:pPr>
        <w:spacing w:after="160" w:line="276"/>
        <w:jc w:val="both"/>
      </w:pPr>
      <w:r>
        <w:rPr>
          <w:sz w:val="22"/>
          <w:szCs w:val="22"/>
        </w:rPr>
        <w:t xml:space="preserve">Adicionalmente, lp_solve reportó los precios duales de las restricciones: −2 para OFERTA_A, −1 para OFERTA_B, 0 para OFERTA_C, y 6, 8, 10, 12 y 14 para las restricciones de demanda de los puntos 1 a 5. Estos valores no contradicen los multiplicadores u_A=0, u_B=1, u_C=2, v_1=4,…, v_5=12 obtenidos por MODI en la sección 4.3: son la misma familia de precios sombra, simplemente normalizada con otra referencia (u_C=0 en vez de u_A=0). En efecto, restando 2 (el valor de u_C en la normalización de MODI) a cada u_i de la sección 4.3 se obtiene exactamente −2, −1 y 0, y sumando 2 a cada v_j de la sección 4.3 se obtiene exactamente 6, 8, 10, 12 y 14 — la diferencia de un grado de libertad aditivo es un resultado conocido de la teoría de dualidad en problemas de transporte balanceados, donde una de las m+n restricciones siempre es linealmente dependiente de las demás (Hillier &amp; Lieberman, 2015).</w:t>
      </w:r>
    </w:p>
    <w:p>
      <w:pPr>
        <w:pStyle w:val="Heading3"/>
        <w:spacing w:after="100" w:before="200"/>
      </w:pPr>
      <w:r>
        <w:rPr>
          <w:b/>
          <w:bCs/>
          <w:i/>
          <w:iCs/>
          <w:sz w:val="22"/>
          <w:szCs w:val="22"/>
        </w:rPr>
        <w:t xml:space="preserve">4.6.5 Vía 5: Python con SciPy (motor HiGHS)</w:t>
      </w:r>
    </w:p>
    <w:p>
      <w:pPr>
        <w:spacing w:after="160" w:line="276"/>
        <w:jc w:val="both"/>
      </w:pPr>
      <w:r>
        <w:rPr>
          <w:sz w:val="22"/>
          <w:szCs w:val="22"/>
        </w:rPr>
        <w:t xml:space="preserve">Como quinta vía, se implementó el mismo modelo en Python utilizando la función linprog de la biblioteca científica SciPy con el motor HiGHS, un solver de programación lineal de código abierto independiente tanto de lp_solve como de Excel/LibreOffice (Virtanen et al., 2020). La salida real fue:</w:t>
      </w:r>
    </w:p>
    <w:p>
      <w:pPr>
        <w:spacing w:after="160" w:before="100"/>
        <w:jc w:val="center"/>
      </w:pPr>
      <w:r>
        <w:rPr>
          <w:i/>
          <w:iCs/>
          <w:sz w:val="22"/>
          <w:szCs w:val="22"/>
        </w:rPr>
        <w:t xml:space="preserve">Status: 0  Optimization terminated successfully. (HiGHS Status 7: Optimal)</w:t>
      </w:r>
    </w:p>
    <w:p>
      <w:pPr>
        <w:spacing w:after="160" w:before="100"/>
        <w:jc w:val="center"/>
      </w:pPr>
      <w:r>
        <w:rPr>
          <w:i/>
          <w:iCs/>
          <w:sz w:val="22"/>
          <w:szCs w:val="22"/>
        </w:rPr>
        <w:t xml:space="preserve">Objetivo (Z): 4170.0</w:t>
      </w:r>
    </w:p>
    <w:p>
      <w:pPr>
        <w:spacing w:after="160" w:before="100"/>
        <w:jc w:val="center"/>
      </w:pPr>
      <w:r>
        <w:rPr>
          <w:i/>
          <w:iCs/>
          <w:sz w:val="22"/>
          <w:szCs w:val="22"/>
        </w:rPr>
        <w:t xml:space="preserve">XA2 = 40     XA4 = 60     XB2 = 50     XB5 = 100     XC1 = 80     XC3 = 120</w:t>
      </w:r>
    </w:p>
    <w:p>
      <w:pPr>
        <w:spacing w:after="160" w:line="276"/>
        <w:jc w:val="both"/>
      </w:pPr>
      <w:r>
        <w:rPr>
          <w:sz w:val="22"/>
          <w:szCs w:val="22"/>
        </w:rPr>
        <w:t xml:space="preserve">De nuevo se obtiene Z = 4 170, esta vez con un tercer vértice óptimo distinto tanto de la tabla 4 como de la solución de lp_solve: aquí el centro A atiende los puntos 2 y 4, el centro B atiende los puntos 2 y 5, y el centro C atiende los puntos 1 y 3. Puede verificarse que esta asignación también satisface íntegramente la oferta de los tres centros (100, 150 y 200) y la demanda de los cinco puntos de venta (80, 90, 120, 60 y 100).</w:t>
      </w:r>
    </w:p>
    <w:p>
      <w:pPr>
        <w:pStyle w:val="Heading3"/>
        <w:spacing w:after="100" w:before="200"/>
      </w:pPr>
      <w:r>
        <w:rPr>
          <w:b/>
          <w:bCs/>
          <w:i/>
          <w:iCs/>
          <w:sz w:val="22"/>
          <w:szCs w:val="22"/>
        </w:rPr>
        <w:t xml:space="preserve">4.6.6 Tabla resumen de la verificación cruzada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1900"/>
        <w:gridCol w:w="2140"/>
        <w:gridCol w:w="1400"/>
        <w:gridCol w:w="1120"/>
      </w:tblGrid>
      <w:tr>
        <w:trPr>
          <w:cantSplit/>
          <w:tblHeader/>
        </w:trPr>
        <w:tc>
          <w:tcPr>
            <w:tcW w:type="dxa" w:w="400"/>
            <w:shd w:fill="1F3864" w:color="auto" w:val="clear"/>
            <w:tcMar>
              <w:top w:type="dxa" w:w="80"/>
              <w:left w:type="dxa" w:w="100"/>
              <w:bottom w:type="dxa" w:w="80"/>
              <w:right w:type="dxa" w:w="100"/>
            </w:tcMar>
            <w:vAlign w:val="center"/>
          </w:tcPr>
          <w:p>
            <w:pPr>
              <w:jc w:val="center"/>
            </w:pPr>
            <w:r>
              <w:rPr>
                <w:b/>
                <w:bCs/>
                <w:color w:val="FFFFFF"/>
                <w:sz w:val="20"/>
                <w:szCs w:val="20"/>
              </w:rPr>
              <w:t xml:space="preserve">#</w:t>
            </w:r>
          </w:p>
        </w:tc>
        <w:tc>
          <w:tcPr>
            <w:tcW w:type="dxa" w:w="2400"/>
            <w:shd w:fill="1F3864" w:color="auto" w:val="clear"/>
            <w:tcMar>
              <w:top w:type="dxa" w:w="80"/>
              <w:left w:type="dxa" w:w="100"/>
              <w:bottom w:type="dxa" w:w="80"/>
              <w:right w:type="dxa" w:w="100"/>
            </w:tcMar>
            <w:vAlign w:val="center"/>
          </w:tcPr>
          <w:p>
            <w:pPr>
              <w:jc w:val="center"/>
            </w:pPr>
            <w:r>
              <w:rPr>
                <w:b/>
                <w:bCs/>
                <w:color w:val="FFFFFF"/>
                <w:sz w:val="20"/>
                <w:szCs w:val="20"/>
              </w:rPr>
              <w:t xml:space="preserve">Método / herramienta</w:t>
            </w:r>
          </w:p>
        </w:tc>
        <w:tc>
          <w:tcPr>
            <w:tcW w:type="dxa" w:w="1900"/>
            <w:shd w:fill="1F3864" w:color="auto" w:val="clear"/>
            <w:tcMar>
              <w:top w:type="dxa" w:w="80"/>
              <w:left w:type="dxa" w:w="100"/>
              <w:bottom w:type="dxa" w:w="80"/>
              <w:right w:type="dxa" w:w="100"/>
            </w:tcMar>
            <w:vAlign w:val="center"/>
          </w:tcPr>
          <w:p>
            <w:pPr>
              <w:jc w:val="center"/>
            </w:pPr>
            <w:r>
              <w:rPr>
                <w:b/>
                <w:bCs/>
                <w:color w:val="FFFFFF"/>
                <w:sz w:val="20"/>
                <w:szCs w:val="20"/>
              </w:rPr>
              <w:t xml:space="preserve">Tipo</w:t>
            </w:r>
          </w:p>
        </w:tc>
        <w:tc>
          <w:tcPr>
            <w:tcW w:type="dxa" w:w="2140"/>
            <w:shd w:fill="1F3864" w:color="auto" w:val="clear"/>
            <w:tcMar>
              <w:top w:type="dxa" w:w="80"/>
              <w:left w:type="dxa" w:w="100"/>
              <w:bottom w:type="dxa" w:w="80"/>
              <w:right w:type="dxa" w:w="100"/>
            </w:tcMar>
            <w:vAlign w:val="center"/>
          </w:tcPr>
          <w:p>
            <w:pPr>
              <w:jc w:val="center"/>
            </w:pPr>
            <w:r>
              <w:rPr>
                <w:b/>
                <w:bCs/>
                <w:color w:val="FFFFFF"/>
                <w:sz w:val="20"/>
                <w:szCs w:val="20"/>
              </w:rPr>
              <w:t xml:space="preserve">Motor / algoritmo</w:t>
            </w:r>
          </w:p>
        </w:tc>
        <w:tc>
          <w:tcPr>
            <w:tcW w:type="dxa" w:w="1400"/>
            <w:shd w:fill="1F3864" w:color="auto" w:val="clear"/>
            <w:tcMar>
              <w:top w:type="dxa" w:w="80"/>
              <w:left w:type="dxa" w:w="100"/>
              <w:bottom w:type="dxa" w:w="80"/>
              <w:right w:type="dxa" w:w="100"/>
            </w:tcMar>
            <w:vAlign w:val="center"/>
          </w:tcPr>
          <w:p>
            <w:pPr>
              <w:jc w:val="center"/>
            </w:pPr>
            <w:r>
              <w:rPr>
                <w:b/>
                <w:bCs/>
                <w:color w:val="FFFFFF"/>
                <w:sz w:val="20"/>
                <w:szCs w:val="20"/>
              </w:rPr>
              <w:t xml:space="preserve">Costo óptimo Z</w:t>
            </w:r>
          </w:p>
        </w:tc>
        <w:tc>
          <w:tcPr>
            <w:tcW w:type="dxa" w:w="1120"/>
            <w:shd w:fill="1F3864" w:color="auto" w:val="clear"/>
            <w:tcMar>
              <w:top w:type="dxa" w:w="80"/>
              <w:left w:type="dxa" w:w="100"/>
              <w:bottom w:type="dxa" w:w="80"/>
              <w:right w:type="dxa" w:w="100"/>
            </w:tcMar>
            <w:vAlign w:val="center"/>
          </w:tcPr>
          <w:p>
            <w:pPr>
              <w:jc w:val="center"/>
            </w:pPr>
            <w:r>
              <w:rPr>
                <w:b/>
                <w:bCs/>
                <w:color w:val="FFFFFF"/>
                <w:sz w:val="20"/>
                <w:szCs w:val="20"/>
              </w:rPr>
              <w:t xml:space="preserve">¿Coincide?</w:t>
            </w:r>
          </w:p>
        </w:tc>
      </w:tr>
      <w:tr>
        <w:trPr>
          <w:cantSplit/>
        </w:trPr>
        <w:tc>
          <w:tcPr>
            <w:tcW w:type="dxa" w:w="40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1</w:t>
            </w:r>
          </w:p>
        </w:tc>
        <w:tc>
          <w:tcPr>
            <w:tcW w:type="dxa" w:w="240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Esquina noroeste</w:t>
            </w:r>
          </w:p>
        </w:tc>
        <w:tc>
          <w:tcPr>
            <w:tcW w:type="dxa" w:w="190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Manual</w:t>
            </w:r>
          </w:p>
        </w:tc>
        <w:tc>
          <w:tcPr>
            <w:tcW w:type="dxa" w:w="214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Regla de asignación secuencial</w:t>
            </w:r>
          </w:p>
        </w:tc>
        <w:tc>
          <w:tcPr>
            <w:tcW w:type="dxa" w:w="140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4 170</w:t>
            </w:r>
          </w:p>
        </w:tc>
        <w:tc>
          <w:tcPr>
            <w:tcW w:type="dxa" w:w="112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Sí</w:t>
            </w:r>
          </w:p>
        </w:tc>
      </w:tr>
      <w:tr>
        <w:trPr>
          <w:cantSplit/>
        </w:trPr>
        <w:tc>
          <w:tcPr>
            <w:tcW w:type="dxa" w:w="400"/>
            <w:shd w:fill="F2F2F2" w:color="auto" w:val="clear"/>
            <w:tcMar>
              <w:top w:type="dxa" w:w="80"/>
              <w:left w:type="dxa" w:w="100"/>
              <w:bottom w:type="dxa" w:w="80"/>
              <w:right w:type="dxa" w:w="100"/>
            </w:tcMar>
            <w:vAlign w:val="center"/>
          </w:tcPr>
          <w:p>
            <w:pPr>
              <w:jc w:val="center"/>
            </w:pPr>
            <w:r>
              <w:rPr>
                <w:b w:val="false"/>
                <w:bCs w:val="false"/>
                <w:color w:val="000000"/>
                <w:sz w:val="20"/>
                <w:szCs w:val="20"/>
              </w:rPr>
              <w:t xml:space="preserve">2</w:t>
            </w:r>
          </w:p>
        </w:tc>
        <w:tc>
          <w:tcPr>
            <w:tcW w:type="dxa" w:w="2400"/>
            <w:shd w:fill="F2F2F2" w:color="auto" w:val="clear"/>
            <w:tcMar>
              <w:top w:type="dxa" w:w="80"/>
              <w:left w:type="dxa" w:w="100"/>
              <w:bottom w:type="dxa" w:w="80"/>
              <w:right w:type="dxa" w:w="100"/>
            </w:tcMar>
            <w:vAlign w:val="center"/>
          </w:tcPr>
          <w:p>
            <w:pPr>
              <w:jc w:val="center"/>
            </w:pPr>
            <w:r>
              <w:rPr>
                <w:b w:val="false"/>
                <w:bCs w:val="false"/>
                <w:color w:val="000000"/>
                <w:sz w:val="20"/>
                <w:szCs w:val="20"/>
              </w:rPr>
              <w:t xml:space="preserve">Método de Vogel (VAM)</w:t>
            </w:r>
          </w:p>
        </w:tc>
        <w:tc>
          <w:tcPr>
            <w:tcW w:type="dxa" w:w="1900"/>
            <w:shd w:fill="F2F2F2" w:color="auto" w:val="clear"/>
            <w:tcMar>
              <w:top w:type="dxa" w:w="80"/>
              <w:left w:type="dxa" w:w="100"/>
              <w:bottom w:type="dxa" w:w="80"/>
              <w:right w:type="dxa" w:w="100"/>
            </w:tcMar>
            <w:vAlign w:val="center"/>
          </w:tcPr>
          <w:p>
            <w:pPr>
              <w:jc w:val="center"/>
            </w:pPr>
            <w:r>
              <w:rPr>
                <w:b w:val="false"/>
                <w:bCs w:val="false"/>
                <w:color w:val="000000"/>
                <w:sz w:val="20"/>
                <w:szCs w:val="20"/>
              </w:rPr>
              <w:t xml:space="preserve">Manual</w:t>
            </w:r>
          </w:p>
        </w:tc>
        <w:tc>
          <w:tcPr>
            <w:tcW w:type="dxa" w:w="2140"/>
            <w:shd w:fill="F2F2F2" w:color="auto" w:val="clear"/>
            <w:tcMar>
              <w:top w:type="dxa" w:w="80"/>
              <w:left w:type="dxa" w:w="100"/>
              <w:bottom w:type="dxa" w:w="80"/>
              <w:right w:type="dxa" w:w="100"/>
            </w:tcMar>
            <w:vAlign w:val="center"/>
          </w:tcPr>
          <w:p>
            <w:pPr>
              <w:jc w:val="center"/>
            </w:pPr>
            <w:r>
              <w:rPr>
                <w:b w:val="false"/>
                <w:bCs w:val="false"/>
                <w:color w:val="000000"/>
                <w:sz w:val="20"/>
                <w:szCs w:val="20"/>
              </w:rPr>
              <w:t xml:space="preserve">Penalizaciones por fila/columna</w:t>
            </w:r>
          </w:p>
        </w:tc>
        <w:tc>
          <w:tcPr>
            <w:tcW w:type="dxa" w:w="1400"/>
            <w:shd w:fill="F2F2F2" w:color="auto" w:val="clear"/>
            <w:tcMar>
              <w:top w:type="dxa" w:w="80"/>
              <w:left w:type="dxa" w:w="100"/>
              <w:bottom w:type="dxa" w:w="80"/>
              <w:right w:type="dxa" w:w="100"/>
            </w:tcMar>
            <w:vAlign w:val="center"/>
          </w:tcPr>
          <w:p>
            <w:pPr>
              <w:jc w:val="center"/>
            </w:pPr>
            <w:r>
              <w:rPr>
                <w:b w:val="false"/>
                <w:bCs w:val="false"/>
                <w:color w:val="000000"/>
                <w:sz w:val="20"/>
                <w:szCs w:val="20"/>
              </w:rPr>
              <w:t xml:space="preserve">4 170</w:t>
            </w:r>
          </w:p>
        </w:tc>
        <w:tc>
          <w:tcPr>
            <w:tcW w:type="dxa" w:w="1120"/>
            <w:shd w:fill="F2F2F2" w:color="auto" w:val="clear"/>
            <w:tcMar>
              <w:top w:type="dxa" w:w="80"/>
              <w:left w:type="dxa" w:w="100"/>
              <w:bottom w:type="dxa" w:w="80"/>
              <w:right w:type="dxa" w:w="100"/>
            </w:tcMar>
            <w:vAlign w:val="center"/>
          </w:tcPr>
          <w:p>
            <w:pPr>
              <w:jc w:val="center"/>
            </w:pPr>
            <w:r>
              <w:rPr>
                <w:b w:val="false"/>
                <w:bCs w:val="false"/>
                <w:color w:val="000000"/>
                <w:sz w:val="20"/>
                <w:szCs w:val="20"/>
              </w:rPr>
              <w:t xml:space="preserve">Sí</w:t>
            </w:r>
          </w:p>
        </w:tc>
      </w:tr>
      <w:tr>
        <w:trPr>
          <w:cantSplit/>
        </w:trPr>
        <w:tc>
          <w:tcPr>
            <w:tcW w:type="dxa" w:w="40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3</w:t>
            </w:r>
          </w:p>
        </w:tc>
        <w:tc>
          <w:tcPr>
            <w:tcW w:type="dxa" w:w="240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LibreOffice Calc Solver</w:t>
            </w:r>
          </w:p>
        </w:tc>
        <w:tc>
          <w:tcPr>
            <w:tcW w:type="dxa" w:w="190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Software (hoja de cálculo)</w:t>
            </w:r>
          </w:p>
        </w:tc>
        <w:tc>
          <w:tcPr>
            <w:tcW w:type="dxa" w:w="214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lp_solve (Simplex LP)</w:t>
            </w:r>
          </w:p>
        </w:tc>
        <w:tc>
          <w:tcPr>
            <w:tcW w:type="dxa" w:w="140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4 170</w:t>
            </w:r>
          </w:p>
        </w:tc>
        <w:tc>
          <w:tcPr>
            <w:tcW w:type="dxa" w:w="112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Sí</w:t>
            </w:r>
          </w:p>
        </w:tc>
      </w:tr>
      <w:tr>
        <w:trPr>
          <w:cantSplit/>
        </w:trPr>
        <w:tc>
          <w:tcPr>
            <w:tcW w:type="dxa" w:w="400"/>
            <w:shd w:fill="F2F2F2" w:color="auto" w:val="clear"/>
            <w:tcMar>
              <w:top w:type="dxa" w:w="80"/>
              <w:left w:type="dxa" w:w="100"/>
              <w:bottom w:type="dxa" w:w="80"/>
              <w:right w:type="dxa" w:w="100"/>
            </w:tcMar>
            <w:vAlign w:val="center"/>
          </w:tcPr>
          <w:p>
            <w:pPr>
              <w:jc w:val="center"/>
            </w:pPr>
            <w:r>
              <w:rPr>
                <w:b w:val="false"/>
                <w:bCs w:val="false"/>
                <w:color w:val="000000"/>
                <w:sz w:val="20"/>
                <w:szCs w:val="20"/>
              </w:rPr>
              <w:t xml:space="preserve">4</w:t>
            </w:r>
          </w:p>
        </w:tc>
        <w:tc>
          <w:tcPr>
            <w:tcW w:type="dxa" w:w="2400"/>
            <w:shd w:fill="F2F2F2" w:color="auto" w:val="clear"/>
            <w:tcMar>
              <w:top w:type="dxa" w:w="80"/>
              <w:left w:type="dxa" w:w="100"/>
              <w:bottom w:type="dxa" w:w="80"/>
              <w:right w:type="dxa" w:w="100"/>
            </w:tcMar>
            <w:vAlign w:val="center"/>
          </w:tcPr>
          <w:p>
            <w:pPr>
              <w:jc w:val="center"/>
            </w:pPr>
            <w:r>
              <w:rPr>
                <w:b w:val="false"/>
                <w:bCs w:val="false"/>
                <w:color w:val="000000"/>
                <w:sz w:val="20"/>
                <w:szCs w:val="20"/>
              </w:rPr>
              <w:t xml:space="preserve">lp_solve (línea de comandos)</w:t>
            </w:r>
          </w:p>
        </w:tc>
        <w:tc>
          <w:tcPr>
            <w:tcW w:type="dxa" w:w="1900"/>
            <w:shd w:fill="F2F2F2" w:color="auto" w:val="clear"/>
            <w:tcMar>
              <w:top w:type="dxa" w:w="80"/>
              <w:left w:type="dxa" w:w="100"/>
              <w:bottom w:type="dxa" w:w="80"/>
              <w:right w:type="dxa" w:w="100"/>
            </w:tcMar>
            <w:vAlign w:val="center"/>
          </w:tcPr>
          <w:p>
            <w:pPr>
              <w:jc w:val="center"/>
            </w:pPr>
            <w:r>
              <w:rPr>
                <w:b w:val="false"/>
                <w:bCs w:val="false"/>
                <w:color w:val="000000"/>
                <w:sz w:val="20"/>
                <w:szCs w:val="20"/>
              </w:rPr>
              <w:t xml:space="preserve">Software (LP dedicado)</w:t>
            </w:r>
          </w:p>
        </w:tc>
        <w:tc>
          <w:tcPr>
            <w:tcW w:type="dxa" w:w="2140"/>
            <w:shd w:fill="F2F2F2" w:color="auto" w:val="clear"/>
            <w:tcMar>
              <w:top w:type="dxa" w:w="80"/>
              <w:left w:type="dxa" w:w="100"/>
              <w:bottom w:type="dxa" w:w="80"/>
              <w:right w:type="dxa" w:w="100"/>
            </w:tcMar>
            <w:vAlign w:val="center"/>
          </w:tcPr>
          <w:p>
            <w:pPr>
              <w:jc w:val="center"/>
            </w:pPr>
            <w:r>
              <w:rPr>
                <w:b w:val="false"/>
                <w:bCs w:val="false"/>
                <w:color w:val="000000"/>
                <w:sz w:val="20"/>
                <w:szCs w:val="20"/>
              </w:rPr>
              <w:t xml:space="preserve">lp_solve (Simplex/dual Simplex)</w:t>
            </w:r>
          </w:p>
        </w:tc>
        <w:tc>
          <w:tcPr>
            <w:tcW w:type="dxa" w:w="1400"/>
            <w:shd w:fill="F2F2F2" w:color="auto" w:val="clear"/>
            <w:tcMar>
              <w:top w:type="dxa" w:w="80"/>
              <w:left w:type="dxa" w:w="100"/>
              <w:bottom w:type="dxa" w:w="80"/>
              <w:right w:type="dxa" w:w="100"/>
            </w:tcMar>
            <w:vAlign w:val="center"/>
          </w:tcPr>
          <w:p>
            <w:pPr>
              <w:jc w:val="center"/>
            </w:pPr>
            <w:r>
              <w:rPr>
                <w:b w:val="false"/>
                <w:bCs w:val="false"/>
                <w:color w:val="000000"/>
                <w:sz w:val="20"/>
                <w:szCs w:val="20"/>
              </w:rPr>
              <w:t xml:space="preserve">4 170</w:t>
            </w:r>
          </w:p>
        </w:tc>
        <w:tc>
          <w:tcPr>
            <w:tcW w:type="dxa" w:w="1120"/>
            <w:shd w:fill="F2F2F2" w:color="auto" w:val="clear"/>
            <w:tcMar>
              <w:top w:type="dxa" w:w="80"/>
              <w:left w:type="dxa" w:w="100"/>
              <w:bottom w:type="dxa" w:w="80"/>
              <w:right w:type="dxa" w:w="100"/>
            </w:tcMar>
            <w:vAlign w:val="center"/>
          </w:tcPr>
          <w:p>
            <w:pPr>
              <w:jc w:val="center"/>
            </w:pPr>
            <w:r>
              <w:rPr>
                <w:b w:val="false"/>
                <w:bCs w:val="false"/>
                <w:color w:val="000000"/>
                <w:sz w:val="20"/>
                <w:szCs w:val="20"/>
              </w:rPr>
              <w:t xml:space="preserve">Sí</w:t>
            </w:r>
          </w:p>
        </w:tc>
      </w:tr>
      <w:tr>
        <w:trPr>
          <w:cantSplit/>
        </w:trPr>
        <w:tc>
          <w:tcPr>
            <w:tcW w:type="dxa" w:w="40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5</w:t>
            </w:r>
          </w:p>
        </w:tc>
        <w:tc>
          <w:tcPr>
            <w:tcW w:type="dxa" w:w="240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Python SciPy linprog</w:t>
            </w:r>
          </w:p>
        </w:tc>
        <w:tc>
          <w:tcPr>
            <w:tcW w:type="dxa" w:w="190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Software (lenguaje de programación)</w:t>
            </w:r>
          </w:p>
        </w:tc>
        <w:tc>
          <w:tcPr>
            <w:tcW w:type="dxa" w:w="214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HiGHS (Simplex/punto interior)</w:t>
            </w:r>
          </w:p>
        </w:tc>
        <w:tc>
          <w:tcPr>
            <w:tcW w:type="dxa" w:w="140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4 170</w:t>
            </w:r>
          </w:p>
        </w:tc>
        <w:tc>
          <w:tcPr>
            <w:tcW w:type="dxa" w:w="112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Sí</w:t>
            </w:r>
          </w:p>
        </w:tc>
      </w:tr>
      <w:tr>
        <w:trPr>
          <w:cantSplit/>
        </w:trPr>
        <w:tc>
          <w:tcPr>
            <w:tcW w:type="dxa" w:w="400"/>
            <w:shd w:fill="F2F2F2" w:color="auto" w:val="clear"/>
            <w:tcMar>
              <w:top w:type="dxa" w:w="80"/>
              <w:left w:type="dxa" w:w="100"/>
              <w:bottom w:type="dxa" w:w="80"/>
              <w:right w:type="dxa" w:w="100"/>
            </w:tcMar>
            <w:vAlign w:val="center"/>
          </w:tcPr>
          <w:p>
            <w:pPr>
              <w:jc w:val="center"/>
            </w:pPr>
            <w:r>
              <w:rPr>
                <w:b w:val="false"/>
                <w:bCs w:val="false"/>
                <w:color w:val="000000"/>
                <w:sz w:val="20"/>
                <w:szCs w:val="20"/>
              </w:rPr>
              <w:t xml:space="preserve">6</w:t>
            </w:r>
          </w:p>
        </w:tc>
        <w:tc>
          <w:tcPr>
            <w:tcW w:type="dxa" w:w="2400"/>
            <w:shd w:fill="F2F2F2" w:color="auto" w:val="clear"/>
            <w:tcMar>
              <w:top w:type="dxa" w:w="80"/>
              <w:left w:type="dxa" w:w="100"/>
              <w:bottom w:type="dxa" w:w="80"/>
              <w:right w:type="dxa" w:w="100"/>
            </w:tcMar>
            <w:vAlign w:val="center"/>
          </w:tcPr>
          <w:p>
            <w:pPr>
              <w:jc w:val="center"/>
            </w:pPr>
            <w:r>
              <w:rPr>
                <w:b w:val="false"/>
                <w:bCs w:val="false"/>
                <w:color w:val="000000"/>
                <w:sz w:val="20"/>
                <w:szCs w:val="20"/>
              </w:rPr>
              <w:t xml:space="preserve">Formulación LINDO</w:t>
            </w:r>
          </w:p>
        </w:tc>
        <w:tc>
          <w:tcPr>
            <w:tcW w:type="dxa" w:w="1900"/>
            <w:shd w:fill="F2F2F2" w:color="auto" w:val="clear"/>
            <w:tcMar>
              <w:top w:type="dxa" w:w="80"/>
              <w:left w:type="dxa" w:w="100"/>
              <w:bottom w:type="dxa" w:w="80"/>
              <w:right w:type="dxa" w:w="100"/>
            </w:tcMar>
            <w:vAlign w:val="center"/>
          </w:tcPr>
          <w:p>
            <w:pPr>
              <w:jc w:val="center"/>
            </w:pPr>
            <w:r>
              <w:rPr>
                <w:b w:val="false"/>
                <w:bCs w:val="false"/>
                <w:color w:val="000000"/>
                <w:sz w:val="20"/>
                <w:szCs w:val="20"/>
              </w:rPr>
              <w:t xml:space="preserve">Software (LP dedicado)</w:t>
            </w:r>
          </w:p>
        </w:tc>
        <w:tc>
          <w:tcPr>
            <w:tcW w:type="dxa" w:w="2140"/>
            <w:shd w:fill="F2F2F2" w:color="auto" w:val="clear"/>
            <w:tcMar>
              <w:top w:type="dxa" w:w="80"/>
              <w:left w:type="dxa" w:w="100"/>
              <w:bottom w:type="dxa" w:w="80"/>
              <w:right w:type="dxa" w:w="100"/>
            </w:tcMar>
            <w:vAlign w:val="center"/>
          </w:tcPr>
          <w:p>
            <w:pPr>
              <w:jc w:val="center"/>
            </w:pPr>
            <w:r>
              <w:rPr>
                <w:b w:val="false"/>
                <w:bCs w:val="false"/>
                <w:color w:val="000000"/>
                <w:sz w:val="20"/>
                <w:szCs w:val="20"/>
              </w:rPr>
              <w:t xml:space="preserve">Simplex LP de LINDO</w:t>
            </w:r>
          </w:p>
        </w:tc>
        <w:tc>
          <w:tcPr>
            <w:tcW w:type="dxa" w:w="1400"/>
            <w:shd w:fill="F2F2F2" w:color="auto" w:val="clear"/>
            <w:tcMar>
              <w:top w:type="dxa" w:w="80"/>
              <w:left w:type="dxa" w:w="100"/>
              <w:bottom w:type="dxa" w:w="80"/>
              <w:right w:type="dxa" w:w="100"/>
            </w:tcMar>
            <w:vAlign w:val="center"/>
          </w:tcPr>
          <w:p>
            <w:pPr>
              <w:jc w:val="center"/>
            </w:pPr>
            <w:r>
              <w:rPr>
                <w:b w:val="false"/>
                <w:bCs w:val="false"/>
                <w:color w:val="000000"/>
                <w:sz w:val="20"/>
                <w:szCs w:val="20"/>
              </w:rPr>
              <w:t xml:space="preserve">4 170</w:t>
            </w:r>
          </w:p>
        </w:tc>
        <w:tc>
          <w:tcPr>
            <w:tcW w:type="dxa" w:w="1120"/>
            <w:shd w:fill="F2F2F2" w:color="auto" w:val="clear"/>
            <w:tcMar>
              <w:top w:type="dxa" w:w="80"/>
              <w:left w:type="dxa" w:w="100"/>
              <w:bottom w:type="dxa" w:w="80"/>
              <w:right w:type="dxa" w:w="100"/>
            </w:tcMar>
            <w:vAlign w:val="center"/>
          </w:tcPr>
          <w:p>
            <w:pPr>
              <w:jc w:val="center"/>
            </w:pPr>
            <w:r>
              <w:rPr>
                <w:b w:val="false"/>
                <w:bCs w:val="false"/>
                <w:color w:val="000000"/>
                <w:sz w:val="20"/>
                <w:szCs w:val="20"/>
              </w:rPr>
              <w:t xml:space="preserve">Sí (esperado)</w:t>
            </w:r>
          </w:p>
        </w:tc>
      </w:tr>
      <w:tr>
        <w:trPr>
          <w:cantSplit/>
        </w:trPr>
        <w:tc>
          <w:tcPr>
            <w:tcW w:type="dxa" w:w="40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7</w:t>
            </w:r>
          </w:p>
        </w:tc>
        <w:tc>
          <w:tcPr>
            <w:tcW w:type="dxa" w:w="240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Método MODI (u, v)</w:t>
            </w:r>
          </w:p>
        </w:tc>
        <w:tc>
          <w:tcPr>
            <w:tcW w:type="dxa" w:w="190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Manual — prueba de optimalidad</w:t>
            </w:r>
          </w:p>
        </w:tc>
        <w:tc>
          <w:tcPr>
            <w:tcW w:type="dxa" w:w="214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Multiplicadores / costos reducidos</w:t>
            </w:r>
          </w:p>
        </w:tc>
        <w:tc>
          <w:tcPr>
            <w:tcW w:type="dxa" w:w="140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4 170</w:t>
            </w:r>
          </w:p>
        </w:tc>
        <w:tc>
          <w:tcPr>
            <w:tcW w:type="dxa" w:w="112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Sí</w:t>
            </w:r>
          </w:p>
        </w:tc>
      </w:tr>
    </w:tbl>
    <w:p>
      <w:pPr>
        <w:spacing w:after="240" w:before="60"/>
        <w:jc w:val="center"/>
      </w:pPr>
      <w:r>
        <w:rPr>
          <w:i/>
          <w:iCs/>
          <w:color w:val="555555"/>
          <w:sz w:val="18"/>
          <w:szCs w:val="18"/>
        </w:rPr>
        <w:t xml:space="preserve">Tabla 6-ter. Verificación cruzada del costo óptimo con siete métodos y herramientas independientes (dos manuales y cinco computacionales/analíticos).</w:t>
      </w:r>
    </w:p>
    <w:p>
      <w:pPr>
        <w:spacing w:after="160" w:line="276"/>
        <w:jc w:val="both"/>
      </w:pPr>
      <w:r>
        <w:rPr>
          <w:sz w:val="22"/>
          <w:szCs w:val="22"/>
        </w:rPr>
        <w:t xml:space="preserve">Que siete vías de cálculo completamente distintas —con algoritmos, motores y hasta lenguajes de programación diferentes— coincidan en el mismo costo óptimo de 4 170 unidades monetarias constituye una verificación exhaustiva de la corrección del modelo planteado en la sección 3 y de su resolución. La discrepancia observada en la asignación concreta de rutas entre las vías 1/2, 4 y 5 no es un error, sino la manifestación práctica y reproducible de la propiedad de múltiples óptimos demostrada analíticamente en la sección 4.4.</w:t>
      </w:r>
    </w:p>
    <w:p>
      <w:pPr>
        <w:spacing w:after="160" w:line="276"/>
        <w:jc w:val="both"/>
      </w:pPr>
      <w:r>
        <w:rPr>
          <w:sz w:val="22"/>
          <w:szCs w:val="22"/>
        </w:rPr>
        <w:t xml:space="preserve">Los scripts, el archivo .lp y las salidas reales de estas corridas (no capturas de pantalla, sino los archivos tal cual se ejecutaron) van incluidos en la carpeta Verificacion/ del repositorio, por si alguien quiere correrlos de nuevo y comprobarlo con sus propios ojos.</w:t>
      </w:r>
    </w:p>
    <w:p>
      <w:pPr>
        <w:pBdr>
          <w:top w:val="single" w:color="BFBFBF" w:sz="4" w:space="4"/>
        </w:pBdr>
        <w:spacing w:after="60" w:before="200"/>
      </w:pPr>
      <w:r>
        <w:rPr>
          <w:b/>
          <w:bCs/>
          <w:i/>
          <w:iCs/>
          <w:color w:val="555555"/>
          <w:sz w:val="18"/>
          <w:szCs w:val="18"/>
        </w:rPr>
        <w:t xml:space="preserve">Fuente(s) de esta sección (formato APA):</w:t>
      </w:r>
    </w:p>
    <w:p>
      <w:pPr>
        <w:spacing w:after="60"/>
        <w:ind w:left="460" w:hanging="260"/>
      </w:pPr>
      <w:r>
        <w:rPr>
          <w:color w:val="555555"/>
          <w:sz w:val="18"/>
          <w:szCs w:val="18"/>
        </w:rPr>
        <w:t xml:space="preserve">• </w:t>
      </w:r>
      <w:r>
        <w:rPr>
          <w:i w:val="false"/>
          <w:iCs w:val="false"/>
          <w:color w:val="555555"/>
          <w:sz w:val="18"/>
          <w:szCs w:val="18"/>
        </w:rPr>
        <w:t xml:space="preserve">Taha, H. A. (2017). </w:t>
      </w:r>
      <w:r>
        <w:rPr>
          <w:i/>
          <w:iCs/>
          <w:color w:val="555555"/>
          <w:sz w:val="18"/>
          <w:szCs w:val="18"/>
        </w:rPr>
        <w:t xml:space="preserve">Operations research: An introduction</w:t>
      </w:r>
      <w:r>
        <w:rPr>
          <w:i w:val="false"/>
          <w:iCs w:val="false"/>
          <w:color w:val="555555"/>
          <w:sz w:val="18"/>
          <w:szCs w:val="18"/>
        </w:rPr>
        <w:t xml:space="preserve"> (10.ª ed.). Pearson.</w:t>
      </w:r>
    </w:p>
    <w:p>
      <w:pPr>
        <w:spacing w:after="60"/>
        <w:ind w:left="460" w:hanging="260"/>
      </w:pPr>
      <w:r>
        <w:rPr>
          <w:color w:val="555555"/>
          <w:sz w:val="18"/>
          <w:szCs w:val="18"/>
        </w:rPr>
        <w:t xml:space="preserve">• </w:t>
      </w:r>
      <w:r>
        <w:rPr>
          <w:i w:val="false"/>
          <w:iCs w:val="false"/>
          <w:color w:val="555555"/>
          <w:sz w:val="18"/>
          <w:szCs w:val="18"/>
        </w:rPr>
        <w:t xml:space="preserve">Hillier, F. S., &amp; Lieberman, G. J. (2015). </w:t>
      </w:r>
      <w:r>
        <w:rPr>
          <w:i/>
          <w:iCs/>
          <w:color w:val="555555"/>
          <w:sz w:val="18"/>
          <w:szCs w:val="18"/>
        </w:rPr>
        <w:t xml:space="preserve">Introduction to operations research</w:t>
      </w:r>
      <w:r>
        <w:rPr>
          <w:i w:val="false"/>
          <w:iCs w:val="false"/>
          <w:color w:val="555555"/>
          <w:sz w:val="18"/>
          <w:szCs w:val="18"/>
        </w:rPr>
        <w:t xml:space="preserve"> (10.ª ed.). McGraw-Hill Education.</w:t>
      </w:r>
    </w:p>
    <w:p>
      <w:pPr>
        <w:spacing w:after="60"/>
        <w:ind w:left="460" w:hanging="260"/>
      </w:pPr>
      <w:r>
        <w:rPr>
          <w:color w:val="555555"/>
          <w:sz w:val="18"/>
          <w:szCs w:val="18"/>
        </w:rPr>
        <w:t xml:space="preserve">• </w:t>
      </w:r>
      <w:r>
        <w:rPr>
          <w:i w:val="false"/>
          <w:iCs w:val="false"/>
          <w:color w:val="555555"/>
          <w:sz w:val="18"/>
          <w:szCs w:val="18"/>
        </w:rPr>
        <w:t xml:space="preserve">Render, B., Stair, R. M., Hanna, M. E., &amp; Hale, T. S. (2018). </w:t>
      </w:r>
      <w:r>
        <w:rPr>
          <w:i/>
          <w:iCs/>
          <w:color w:val="555555"/>
          <w:sz w:val="18"/>
          <w:szCs w:val="18"/>
        </w:rPr>
        <w:t xml:space="preserve">Quantitative analysis for management</w:t>
      </w:r>
      <w:r>
        <w:rPr>
          <w:i w:val="false"/>
          <w:iCs w:val="false"/>
          <w:color w:val="555555"/>
          <w:sz w:val="18"/>
          <w:szCs w:val="18"/>
        </w:rPr>
        <w:t xml:space="preserve"> (13.ª ed.). Pearson.</w:t>
      </w:r>
    </w:p>
    <w:p>
      <w:pPr>
        <w:spacing w:after="60"/>
        <w:ind w:left="460" w:hanging="260"/>
      </w:pPr>
      <w:r>
        <w:rPr>
          <w:color w:val="555555"/>
          <w:sz w:val="18"/>
          <w:szCs w:val="18"/>
        </w:rPr>
        <w:t xml:space="preserve">• </w:t>
      </w:r>
      <w:r>
        <w:rPr>
          <w:i w:val="false"/>
          <w:iCs w:val="false"/>
          <w:color w:val="555555"/>
          <w:sz w:val="18"/>
          <w:szCs w:val="18"/>
        </w:rPr>
        <w:t xml:space="preserve">Winston, W. L. (2004). </w:t>
      </w:r>
      <w:r>
        <w:rPr>
          <w:i/>
          <w:iCs/>
          <w:color w:val="555555"/>
          <w:sz w:val="18"/>
          <w:szCs w:val="18"/>
        </w:rPr>
        <w:t xml:space="preserve">Operations research: Applications and algorithms</w:t>
      </w:r>
      <w:r>
        <w:rPr>
          <w:i w:val="false"/>
          <w:iCs w:val="false"/>
          <w:color w:val="555555"/>
          <w:sz w:val="18"/>
          <w:szCs w:val="18"/>
        </w:rPr>
        <w:t xml:space="preserve"> (4.ª ed.). Cengage Learning.</w:t>
      </w:r>
    </w:p>
    <w:p>
      <w:pPr>
        <w:spacing w:after="60"/>
        <w:ind w:left="460" w:hanging="260"/>
      </w:pPr>
      <w:r>
        <w:rPr>
          <w:color w:val="555555"/>
          <w:sz w:val="18"/>
          <w:szCs w:val="18"/>
        </w:rPr>
        <w:t xml:space="preserve">• </w:t>
      </w:r>
      <w:r>
        <w:rPr>
          <w:i w:val="false"/>
          <w:iCs w:val="false"/>
          <w:color w:val="555555"/>
          <w:sz w:val="18"/>
          <w:szCs w:val="18"/>
        </w:rPr>
        <w:t xml:space="preserve">Frontline Systems, Inc. (2023). </w:t>
      </w:r>
      <w:r>
        <w:rPr>
          <w:i/>
          <w:iCs/>
          <w:color w:val="555555"/>
          <w:sz w:val="18"/>
          <w:szCs w:val="18"/>
        </w:rPr>
        <w:t xml:space="preserve">Excel Solver</w:t>
      </w:r>
      <w:r>
        <w:rPr>
          <w:i w:val="false"/>
          <w:iCs w:val="false"/>
          <w:color w:val="555555"/>
          <w:sz w:val="18"/>
          <w:szCs w:val="18"/>
        </w:rPr>
        <w:t xml:space="preserve"> (complemento de Microsoft Excel) [software]. https://www.solver.com</w:t>
      </w:r>
    </w:p>
    <w:p>
      <w:pPr>
        <w:spacing w:after="60"/>
        <w:ind w:left="460" w:hanging="260"/>
      </w:pPr>
      <w:r>
        <w:rPr>
          <w:color w:val="555555"/>
          <w:sz w:val="18"/>
          <w:szCs w:val="18"/>
        </w:rPr>
        <w:t xml:space="preserve">• </w:t>
      </w:r>
      <w:r>
        <w:rPr>
          <w:i w:val="false"/>
          <w:iCs w:val="false"/>
          <w:color w:val="555555"/>
          <w:sz w:val="18"/>
          <w:szCs w:val="18"/>
        </w:rPr>
        <w:t xml:space="preserve">The Document Foundation. (2024). </w:t>
      </w:r>
      <w:r>
        <w:rPr>
          <w:i/>
          <w:iCs/>
          <w:color w:val="555555"/>
          <w:sz w:val="18"/>
          <w:szCs w:val="18"/>
        </w:rPr>
        <w:t xml:space="preserve">LibreOffice Calc</w:t>
      </w:r>
      <w:r>
        <w:rPr>
          <w:i w:val="false"/>
          <w:iCs w:val="false"/>
          <w:color w:val="555555"/>
          <w:sz w:val="18"/>
          <w:szCs w:val="18"/>
        </w:rPr>
        <w:t xml:space="preserve"> (versión 24.2) [software]. https://www.libreoffice.org</w:t>
      </w:r>
    </w:p>
    <w:p>
      <w:pPr>
        <w:spacing w:after="60"/>
        <w:ind w:left="460" w:hanging="260"/>
      </w:pPr>
      <w:r>
        <w:rPr>
          <w:color w:val="555555"/>
          <w:sz w:val="18"/>
          <w:szCs w:val="18"/>
        </w:rPr>
        <w:t xml:space="preserve">• </w:t>
      </w:r>
      <w:r>
        <w:rPr>
          <w:i w:val="false"/>
          <w:iCs w:val="false"/>
          <w:color w:val="555555"/>
          <w:sz w:val="18"/>
          <w:szCs w:val="18"/>
        </w:rPr>
        <w:t xml:space="preserve">Berkelaar, M., Eikland, K., &amp; Notebaert, P. (2004). </w:t>
      </w:r>
      <w:r>
        <w:rPr>
          <w:i/>
          <w:iCs/>
          <w:color w:val="555555"/>
          <w:sz w:val="18"/>
          <w:szCs w:val="18"/>
        </w:rPr>
        <w:t xml:space="preserve">lp_solve</w:t>
      </w:r>
      <w:r>
        <w:rPr>
          <w:i w:val="false"/>
          <w:iCs w:val="false"/>
          <w:color w:val="555555"/>
          <w:sz w:val="18"/>
          <w:szCs w:val="18"/>
        </w:rPr>
        <w:t xml:space="preserve"> (versión 5.5) [software]. SourceForge. https://sourceforge.net/projects/lpsolve/</w:t>
      </w:r>
    </w:p>
    <w:p>
      <w:pPr>
        <w:spacing w:after="60"/>
        <w:ind w:left="460" w:hanging="260"/>
      </w:pPr>
      <w:r>
        <w:rPr>
          <w:color w:val="555555"/>
          <w:sz w:val="18"/>
          <w:szCs w:val="18"/>
        </w:rPr>
        <w:t xml:space="preserve">• </w:t>
      </w:r>
      <w:r>
        <w:rPr>
          <w:i w:val="false"/>
          <w:iCs w:val="false"/>
          <w:color w:val="555555"/>
          <w:sz w:val="18"/>
          <w:szCs w:val="18"/>
        </w:rPr>
        <w:t xml:space="preserve">LINDO Systems, Inc. (2023). </w:t>
      </w:r>
      <w:r>
        <w:rPr>
          <w:i/>
          <w:iCs/>
          <w:color w:val="555555"/>
          <w:sz w:val="18"/>
          <w:szCs w:val="18"/>
        </w:rPr>
        <w:t xml:space="preserve">LINDO</w:t>
      </w:r>
      <w:r>
        <w:rPr>
          <w:i w:val="false"/>
          <w:iCs w:val="false"/>
          <w:color w:val="555555"/>
          <w:sz w:val="18"/>
          <w:szCs w:val="18"/>
        </w:rPr>
        <w:t xml:space="preserve"> (versión 15.0) [software]. https://www.lindo.com</w:t>
      </w:r>
    </w:p>
    <w:p>
      <w:pPr>
        <w:spacing w:after="0"/>
        <w:ind w:left="460" w:hanging="260"/>
      </w:pPr>
      <w:r>
        <w:rPr>
          <w:color w:val="555555"/>
          <w:sz w:val="18"/>
          <w:szCs w:val="18"/>
        </w:rPr>
        <w:t xml:space="preserve">• </w:t>
      </w:r>
      <w:r>
        <w:rPr>
          <w:i w:val="false"/>
          <w:iCs w:val="false"/>
          <w:color w:val="555555"/>
          <w:sz w:val="18"/>
          <w:szCs w:val="18"/>
        </w:rPr>
        <w:t xml:space="preserve">Virtanen, P., Gommers, R., Oliphant, T. E., Haberland, M., Reddy, T., Cournapeau, D., Burovski, E., Peterson, P., Weckesser, W., Bright, J., van der Walt, S. J., Brett, M., Wilson, J., Millman, K. J., Mayorov, N., Nelson, A. R. J., Jones, E., Kern, R., Larson, E., … SciPy 1.0 Contributors. (2020). SciPy 1.0: Fundamental algorithms for scientific computing in Python. </w:t>
      </w:r>
      <w:r>
        <w:rPr>
          <w:i/>
          <w:iCs/>
          <w:color w:val="555555"/>
          <w:sz w:val="18"/>
          <w:szCs w:val="18"/>
        </w:rPr>
        <w:t xml:space="preserve">Nature Methods, 17</w:t>
      </w:r>
      <w:r>
        <w:rPr>
          <w:i w:val="false"/>
          <w:iCs w:val="false"/>
          <w:color w:val="555555"/>
          <w:sz w:val="18"/>
          <w:szCs w:val="18"/>
        </w:rPr>
        <w:t xml:space="preserve">, 261–272. https://doi.org/10.1038/s41592-019-0686-2</w:t>
      </w:r>
    </w:p>
    <w:p>
      <w:pPr>
        <w:pStyle w:val="Heading1"/>
        <w:pBdr>
          <w:bottom w:val="single" w:color="1F3864" w:sz="8" w:space="4"/>
        </w:pBdr>
        <w:spacing w:after="200" w:before="360"/>
      </w:pPr>
      <w:r>
        <w:rPr>
          <w:b/>
          <w:bCs/>
          <w:color w:val="1F3864"/>
          <w:sz w:val="28"/>
          <w:szCs w:val="28"/>
        </w:rPr>
        <w:t xml:space="preserve">5. Análisis de resultados</w:t>
      </w:r>
    </w:p>
    <w:p>
      <w:pPr>
        <w:spacing w:after="160" w:line="276"/>
        <w:jc w:val="both"/>
      </w:pPr>
      <w:r>
        <w:rPr>
          <w:sz w:val="22"/>
          <w:szCs w:val="22"/>
        </w:rPr>
        <w:t xml:space="preserve">El costo total mínimo de transporte para satisfacer toda la demanda de la red de distribución es de 4 170 unidades monetarias por periodo. A continuación se interpretan los resultados obtenidos a la luz de las preguntas planteadas en la guía de la actividad.</w:t>
      </w:r>
    </w:p>
    <w:p>
      <w:pPr>
        <w:pStyle w:val="Heading3"/>
        <w:spacing w:after="100" w:before="200"/>
      </w:pPr>
      <w:r>
        <w:rPr>
          <w:b/>
          <w:bCs/>
          <w:i/>
          <w:iCs/>
          <w:sz w:val="22"/>
          <w:szCs w:val="22"/>
        </w:rPr>
        <w:t xml:space="preserve">¿Se cumplen todas las demandas?</w:t>
      </w:r>
    </w:p>
    <w:p>
      <w:pPr>
        <w:spacing w:after="160" w:line="276"/>
        <w:jc w:val="both"/>
      </w:pPr>
      <w:r>
        <w:rPr>
          <w:sz w:val="22"/>
          <w:szCs w:val="22"/>
        </w:rPr>
        <w:t xml:space="preserve">Sí. Las cinco restricciones de demanda se satisfacen exactamente: el punto de venta 1 recibe 80 unidades (100 % de A), el punto 2 recibe 90 unidades (20 de A + 70 de B), el punto 3 recibe 120 unidades (80 de B + 40 de C), el punto 4 recibe 60 unidades (100 % de C) y el punto 5 recibe 100 unidades (100 % de C). No queda ningún punto de venta desabastecido.</w:t>
      </w:r>
    </w:p>
    <w:p>
      <w:pPr>
        <w:pStyle w:val="Heading3"/>
        <w:spacing w:after="100" w:before="200"/>
      </w:pPr>
      <w:r>
        <w:rPr>
          <w:b/>
          <w:bCs/>
          <w:i/>
          <w:iCs/>
          <w:sz w:val="22"/>
          <w:szCs w:val="22"/>
        </w:rPr>
        <w:t xml:space="preserve">¿Se han utilizado todos los recursos disponibles?</w:t>
      </w:r>
    </w:p>
    <w:p>
      <w:pPr>
        <w:spacing w:after="160" w:line="276"/>
        <w:jc w:val="both"/>
      </w:pPr>
      <w:r>
        <w:rPr>
          <w:sz w:val="22"/>
          <w:szCs w:val="22"/>
        </w:rPr>
        <w:t xml:space="preserve">Sí. Al estar el problema balanceado (oferta total = demanda total = 450 unidades), la solución óptima agota completamente la disponibilidad de los tres centros: el centro A envía sus 100 unidades completas, el centro B envía sus 150 unidades completas y el centro C envía sus 200 unidades completas. No queda inventario ocioso en ningún centro de distribución.</w:t>
      </w:r>
    </w:p>
    <w:p>
      <w:pPr>
        <w:pStyle w:val="Heading3"/>
        <w:spacing w:after="100" w:before="200"/>
      </w:pPr>
      <w:r>
        <w:rPr>
          <w:b/>
          <w:bCs/>
          <w:i/>
          <w:iCs/>
          <w:sz w:val="22"/>
          <w:szCs w:val="22"/>
        </w:rPr>
        <w:t xml:space="preserve">¿Cuál es el costo total de transporte?</w:t>
      </w:r>
    </w:p>
    <w:p>
      <w:pPr>
        <w:spacing w:after="160" w:line="276"/>
        <w:jc w:val="both"/>
      </w:pPr>
      <w:r>
        <w:rPr>
          <w:sz w:val="22"/>
          <w:szCs w:val="22"/>
        </w:rPr>
        <w:t xml:space="preserve">El costo total óptimo es Z = 4 170 unidades monetarias. Este valor representa el mínimo costo posible de transporte dada la red de costos, ofertas y demandas del caso; cualquier otra asignación factible que cumpla oferta y demanda tendrá, como se demostró en la sección 4.4, el mismo costo (4 170) o uno mayor si se aparta de las condiciones de equilibrio.</w:t>
      </w:r>
    </w:p>
    <w:p>
      <w:pPr>
        <w:pStyle w:val="Heading3"/>
        <w:spacing w:after="100" w:before="200"/>
      </w:pPr>
      <w:r>
        <w:rPr>
          <w:b/>
          <w:bCs/>
          <w:i/>
          <w:iCs/>
          <w:sz w:val="22"/>
          <w:szCs w:val="22"/>
        </w:rPr>
        <w:t xml:space="preserve">Lectura por centro de distribución</w:t>
      </w:r>
    </w:p>
    <w:p>
      <w:pPr>
        <w:pStyle w:val="ListParagraph"/>
        <w:numPr>
          <w:ilvl w:val="0"/>
          <w:numId w:val="2"/>
        </w:numPr>
        <w:spacing w:after="80"/>
      </w:pPr>
      <w:r>
        <w:rPr>
          <w:sz w:val="22"/>
          <w:szCs w:val="22"/>
        </w:rPr>
        <w:t xml:space="preserve">Centro A (el de menor costo base, a_A = 4): abastece íntegramente el punto de venta 1 y una parte del punto 2, es decir, se destina prioritariamente a las rutas más económicas.</w:t>
      </w:r>
    </w:p>
    <w:p>
      <w:pPr>
        <w:pStyle w:val="ListParagraph"/>
        <w:numPr>
          <w:ilvl w:val="0"/>
          <w:numId w:val="2"/>
        </w:numPr>
        <w:spacing w:after="80"/>
      </w:pPr>
      <w:r>
        <w:rPr>
          <w:sz w:val="22"/>
          <w:szCs w:val="22"/>
        </w:rPr>
        <w:t xml:space="preserve">Centro B (costo base intermedio, a_B = 5): completa el punto de venta 2 y una parte importante del punto 3, ocupando una posición intermedia en la red.</w:t>
      </w:r>
    </w:p>
    <w:p>
      <w:pPr>
        <w:pStyle w:val="ListParagraph"/>
        <w:numPr>
          <w:ilvl w:val="0"/>
          <w:numId w:val="2"/>
        </w:numPr>
        <w:spacing w:after="80"/>
      </w:pPr>
      <w:r>
        <w:rPr>
          <w:sz w:val="22"/>
          <w:szCs w:val="22"/>
        </w:rPr>
        <w:t xml:space="preserve">Centro C (el de mayor costo base, a_C = 6): atiende el resto del punto 3 y la totalidad de los puntos 4 y 5, que son los de mayor recargo por distancia (b_4 = 6, b_5 = 8).</w:t>
      </w:r>
    </w:p>
    <w:p>
      <w:pPr>
        <w:spacing w:after="160" w:line="276"/>
        <w:jc w:val="both"/>
      </w:pPr>
      <w:r>
        <w:rPr>
          <w:sz w:val="22"/>
          <w:szCs w:val="22"/>
        </w:rPr>
        <w:t xml:space="preserve">Este patrón confirma la lógica esperada de un problema de transporte con estructura de costos creciente: los centros más baratos se reservan, en la medida de lo posible, para las rutas de menor costo, mientras que los centros más caros absorben la demanda restante, incluyendo las rutas más costosas.</w:t>
      </w:r>
    </w:p>
    <w:p>
      <w:pPr>
        <w:pStyle w:val="Heading3"/>
        <w:spacing w:after="100" w:before="200"/>
      </w:pPr>
      <w:r>
        <w:rPr>
          <w:b/>
          <w:bCs/>
          <w:i/>
          <w:iCs/>
          <w:sz w:val="22"/>
          <w:szCs w:val="22"/>
        </w:rPr>
        <w:t xml:space="preserve">Interpretación económica de los precios sombra (u_i, v_j)</w:t>
      </w:r>
    </w:p>
    <w:p>
      <w:pPr>
        <w:spacing w:after="160" w:line="276"/>
        <w:jc w:val="both"/>
      </w:pPr>
      <w:r>
        <w:rPr>
          <w:sz w:val="22"/>
          <w:szCs w:val="22"/>
        </w:rPr>
        <w:t xml:space="preserve">Un aporte adicional del método MODI, que suele pasar inadvertido si solo se busca el costo mínimo, es que los multiplicadores u_i y v_j calculados en la sección 4.3 no son un simple artificio algebraico: son, formalmente, los precios sombra (shadow prices) o variables duales de las restricciones de oferta y demanda del modelo de programación lineal. Este mismo valor es el que reportaría el «Informe de sensibilidad» de Excel Solver o el «Dual Price» de LINDO para cada restricción, tal como se señaló en la sección 4.5.2.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rPr>
          <w:cantSplit/>
          <w:tblHeader/>
        </w:trPr>
        <w:tc>
          <w:tcPr>
            <w:tcW w:type="dxa" w:w="1800"/>
            <w:shd w:fill="1F3864" w:color="auto" w:val="clear"/>
            <w:tcMar>
              <w:top w:type="dxa" w:w="80"/>
              <w:left w:type="dxa" w:w="100"/>
              <w:bottom w:type="dxa" w:w="80"/>
              <w:right w:type="dxa" w:w="100"/>
            </w:tcMar>
            <w:vAlign w:val="center"/>
          </w:tcPr>
          <w:p>
            <w:pPr>
              <w:jc w:val="center"/>
            </w:pPr>
            <w:r>
              <w:rPr>
                <w:b/>
                <w:bCs/>
                <w:color w:val="FFFFFF"/>
                <w:sz w:val="20"/>
                <w:szCs w:val="20"/>
              </w:rPr>
              <w:t xml:space="preserve">Multiplicador</w:t>
            </w:r>
          </w:p>
        </w:tc>
        <w:tc>
          <w:tcPr>
            <w:tcW w:type="dxa" w:w="1400"/>
            <w:shd w:fill="1F3864" w:color="auto" w:val="clear"/>
            <w:tcMar>
              <w:top w:type="dxa" w:w="80"/>
              <w:left w:type="dxa" w:w="100"/>
              <w:bottom w:type="dxa" w:w="80"/>
              <w:right w:type="dxa" w:w="100"/>
            </w:tcMar>
            <w:vAlign w:val="center"/>
          </w:tcPr>
          <w:p>
            <w:pPr>
              <w:jc w:val="center"/>
            </w:pPr>
            <w:r>
              <w:rPr>
                <w:b/>
                <w:bCs/>
                <w:color w:val="FFFFFF"/>
                <w:sz w:val="20"/>
                <w:szCs w:val="20"/>
              </w:rPr>
              <w:t xml:space="preserve">Valor</w:t>
            </w:r>
          </w:p>
        </w:tc>
        <w:tc>
          <w:tcPr>
            <w:tcW w:type="dxa" w:w="6160"/>
            <w:shd w:fill="1F3864" w:color="auto" w:val="clear"/>
            <w:tcMar>
              <w:top w:type="dxa" w:w="80"/>
              <w:left w:type="dxa" w:w="100"/>
              <w:bottom w:type="dxa" w:w="80"/>
              <w:right w:type="dxa" w:w="100"/>
            </w:tcMar>
            <w:vAlign w:val="center"/>
          </w:tcPr>
          <w:p>
            <w:pPr>
              <w:jc w:val="center"/>
            </w:pPr>
            <w:r>
              <w:rPr>
                <w:b/>
                <w:bCs/>
                <w:color w:val="FFFFFF"/>
                <w:sz w:val="20"/>
                <w:szCs w:val="20"/>
              </w:rPr>
              <w:t xml:space="preserve">Interpretación económica</w:t>
            </w:r>
          </w:p>
        </w:tc>
      </w:tr>
      <w:tr>
        <w:trPr>
          <w:cantSplit/>
        </w:trPr>
        <w:tc>
          <w:tcPr>
            <w:tcW w:type="dxa" w:w="180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u_A</w:t>
            </w:r>
          </w:p>
        </w:tc>
        <w:tc>
          <w:tcPr>
            <w:tcW w:type="dxa" w:w="140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0</w:t>
            </w:r>
          </w:p>
        </w:tc>
        <w:tc>
          <w:tcPr>
            <w:tcW w:type="dxa" w:w="616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Costo de oportunidad de referencia (se fija en 0 por convención); una unidad adicional de disponibilidad en A no reduce más el costo porque A ya se usa por completo y es el centro más barato.</w:t>
            </w:r>
          </w:p>
        </w:tc>
      </w:tr>
      <w:tr>
        <w:trPr>
          <w:cantSplit/>
        </w:trPr>
        <w:tc>
          <w:tcPr>
            <w:tcW w:type="dxa" w:w="1800"/>
            <w:shd w:fill="F2F2F2" w:color="auto" w:val="clear"/>
            <w:tcMar>
              <w:top w:type="dxa" w:w="80"/>
              <w:left w:type="dxa" w:w="100"/>
              <w:bottom w:type="dxa" w:w="80"/>
              <w:right w:type="dxa" w:w="100"/>
            </w:tcMar>
            <w:vAlign w:val="center"/>
          </w:tcPr>
          <w:p>
            <w:pPr>
              <w:jc w:val="center"/>
            </w:pPr>
            <w:r>
              <w:rPr>
                <w:b w:val="false"/>
                <w:bCs w:val="false"/>
                <w:color w:val="000000"/>
                <w:sz w:val="20"/>
                <w:szCs w:val="20"/>
              </w:rPr>
              <w:t xml:space="preserve">u_B</w:t>
            </w:r>
          </w:p>
        </w:tc>
        <w:tc>
          <w:tcPr>
            <w:tcW w:type="dxa" w:w="1400"/>
            <w:shd w:fill="F2F2F2" w:color="auto" w:val="clear"/>
            <w:tcMar>
              <w:top w:type="dxa" w:w="80"/>
              <w:left w:type="dxa" w:w="100"/>
              <w:bottom w:type="dxa" w:w="80"/>
              <w:right w:type="dxa" w:w="100"/>
            </w:tcMar>
            <w:vAlign w:val="center"/>
          </w:tcPr>
          <w:p>
            <w:pPr>
              <w:jc w:val="center"/>
            </w:pPr>
            <w:r>
              <w:rPr>
                <w:b w:val="false"/>
                <w:bCs w:val="false"/>
                <w:color w:val="000000"/>
                <w:sz w:val="20"/>
                <w:szCs w:val="20"/>
              </w:rPr>
              <w:t xml:space="preserve">1</w:t>
            </w:r>
          </w:p>
        </w:tc>
        <w:tc>
          <w:tcPr>
            <w:tcW w:type="dxa" w:w="6160"/>
            <w:shd w:fill="F2F2F2" w:color="auto" w:val="clear"/>
            <w:tcMar>
              <w:top w:type="dxa" w:w="80"/>
              <w:left w:type="dxa" w:w="100"/>
              <w:bottom w:type="dxa" w:w="80"/>
              <w:right w:type="dxa" w:w="100"/>
            </w:tcMar>
            <w:vAlign w:val="center"/>
          </w:tcPr>
          <w:p>
            <w:pPr>
              <w:jc w:val="center"/>
            </w:pPr>
            <w:r>
              <w:rPr>
                <w:b w:val="false"/>
                <w:bCs w:val="false"/>
                <w:color w:val="000000"/>
                <w:sz w:val="20"/>
                <w:szCs w:val="20"/>
              </w:rPr>
              <w:t xml:space="preserve">Cada unidad adicional de disponibilidad en el centro B, manteniendo todo lo demás igual, incrementaría el costo total en 1 unidad monetaria por unidad, relativo a A.</w:t>
            </w:r>
          </w:p>
        </w:tc>
      </w:tr>
      <w:tr>
        <w:trPr>
          <w:cantSplit/>
        </w:trPr>
        <w:tc>
          <w:tcPr>
            <w:tcW w:type="dxa" w:w="180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u_C</w:t>
            </w:r>
          </w:p>
        </w:tc>
        <w:tc>
          <w:tcPr>
            <w:tcW w:type="dxa" w:w="140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2</w:t>
            </w:r>
          </w:p>
        </w:tc>
        <w:tc>
          <w:tcPr>
            <w:tcW w:type="dxa" w:w="616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Cada unidad adicional de disponibilidad en el centro C incrementaría el costo total en 2 unidades monetarias por unidad, relativo a A; por eso el escenario B (sección 6.2), que traslada disponibilidad de C hacia B, reduce el costo en (u_C − u_B) = 1 por unidad trasladada.</w:t>
            </w:r>
          </w:p>
        </w:tc>
      </w:tr>
      <w:tr>
        <w:trPr>
          <w:cantSplit/>
        </w:trPr>
        <w:tc>
          <w:tcPr>
            <w:tcW w:type="dxa" w:w="1800"/>
            <w:shd w:fill="F2F2F2" w:color="auto" w:val="clear"/>
            <w:tcMar>
              <w:top w:type="dxa" w:w="80"/>
              <w:left w:type="dxa" w:w="100"/>
              <w:bottom w:type="dxa" w:w="80"/>
              <w:right w:type="dxa" w:w="100"/>
            </w:tcMar>
            <w:vAlign w:val="center"/>
          </w:tcPr>
          <w:p>
            <w:pPr>
              <w:jc w:val="center"/>
            </w:pPr>
            <w:r>
              <w:rPr>
                <w:b w:val="false"/>
                <w:bCs w:val="false"/>
                <w:color w:val="000000"/>
                <w:sz w:val="20"/>
                <w:szCs w:val="20"/>
              </w:rPr>
              <w:t xml:space="preserve">v_1 … v_5</w:t>
            </w:r>
          </w:p>
        </w:tc>
        <w:tc>
          <w:tcPr>
            <w:tcW w:type="dxa" w:w="1400"/>
            <w:shd w:fill="F2F2F2" w:color="auto" w:val="clear"/>
            <w:tcMar>
              <w:top w:type="dxa" w:w="80"/>
              <w:left w:type="dxa" w:w="100"/>
              <w:bottom w:type="dxa" w:w="80"/>
              <w:right w:type="dxa" w:w="100"/>
            </w:tcMar>
            <w:vAlign w:val="center"/>
          </w:tcPr>
          <w:p>
            <w:pPr>
              <w:jc w:val="center"/>
            </w:pPr>
            <w:r>
              <w:rPr>
                <w:b w:val="false"/>
                <w:bCs w:val="false"/>
                <w:color w:val="000000"/>
                <w:sz w:val="20"/>
                <w:szCs w:val="20"/>
              </w:rPr>
              <w:t xml:space="preserve">4, 6, 8, 10, 12</w:t>
            </w:r>
          </w:p>
        </w:tc>
        <w:tc>
          <w:tcPr>
            <w:tcW w:type="dxa" w:w="6160"/>
            <w:shd w:fill="F2F2F2" w:color="auto" w:val="clear"/>
            <w:tcMar>
              <w:top w:type="dxa" w:w="80"/>
              <w:left w:type="dxa" w:w="100"/>
              <w:bottom w:type="dxa" w:w="80"/>
              <w:right w:type="dxa" w:w="100"/>
            </w:tcMar>
            <w:vAlign w:val="center"/>
          </w:tcPr>
          <w:p>
            <w:pPr>
              <w:jc w:val="center"/>
            </w:pPr>
            <w:r>
              <w:rPr>
                <w:b w:val="false"/>
                <w:bCs w:val="false"/>
                <w:color w:val="000000"/>
                <w:sz w:val="20"/>
                <w:szCs w:val="20"/>
              </w:rPr>
              <w:t xml:space="preserve">Costo marginal de servir una unidad adicional de demanda en cada punto de venta, dado el centro más barato disponible; crece de forma constante (2 unidades monetarias) por cada punto de venta más alejado, reflejando la estructura de recargos por distancia.</w:t>
            </w:r>
          </w:p>
        </w:tc>
      </w:tr>
    </w:tbl>
    <w:p>
      <w:pPr>
        <w:spacing w:after="240" w:before="60"/>
        <w:jc w:val="center"/>
      </w:pPr>
      <w:r>
        <w:rPr>
          <w:i/>
          <w:iCs/>
          <w:color w:val="555555"/>
          <w:sz w:val="18"/>
          <w:szCs w:val="18"/>
        </w:rPr>
        <w:t xml:space="preserve">Tabla 6-bis. Interpretación económica de los multiplicadores u_i, v_j como precios sombra de las restricciones de oferta y demanda.</w:t>
      </w:r>
    </w:p>
    <w:p>
      <w:pPr>
        <w:spacing w:after="160" w:line="276"/>
        <w:jc w:val="both"/>
      </w:pPr>
      <w:r>
        <w:rPr>
          <w:sz w:val="22"/>
          <w:szCs w:val="22"/>
        </w:rPr>
        <w:t xml:space="preserve">Esta lectura económica es la que un software especializado como Excel Solver o LINDO entrega automáticamente en su reporte de sensibilidad, y es la que sustenta, con rigor matemático y no solo intuitivo, los resultados de los tres escenarios de sensibilidad que se desarrollan en la sección 6: el signo y la magnitud de la variación del costo total ante un cambio en la oferta o la demanda de una unidad puede anticiparse directamente a partir de estos precios sombra, sin necesidad de resolver el modelo completo nuevamente, siempre que el cambio sea suficientemente pequeño como para no alterar la base óptima actual.</w:t>
      </w:r>
    </w:p>
    <w:p>
      <w:pPr>
        <w:spacing w:after="160" w:line="276"/>
        <w:jc w:val="both"/>
      </w:pPr>
      <w:r>
        <w:rPr>
          <w:sz w:val="22"/>
          <w:szCs w:val="22"/>
        </w:rPr>
        <w:t xml:space="preserve">En criollo: estos números de la tabla 6-bis son, ni más ni menos, lo que cuesta (o lo que se ahorra) mover una unidad más de un lado a otro. Al menos así los uso yo para responder rápido preguntas del tipo «¿y si ampliamos B en vez de C?» sin tener que resolver todo el modelo de nuevo.</w:t>
      </w:r>
    </w:p>
    <w:p>
      <w:pPr>
        <w:pBdr>
          <w:top w:val="single" w:color="BFBFBF" w:sz="4" w:space="4"/>
        </w:pBdr>
        <w:spacing w:after="60" w:before="200"/>
      </w:pPr>
      <w:r>
        <w:rPr>
          <w:b/>
          <w:bCs/>
          <w:i/>
          <w:iCs/>
          <w:color w:val="555555"/>
          <w:sz w:val="18"/>
          <w:szCs w:val="18"/>
        </w:rPr>
        <w:t xml:space="preserve">Fuente(s) de esta sección (formato APA):</w:t>
      </w:r>
    </w:p>
    <w:p>
      <w:pPr>
        <w:spacing w:after="60"/>
        <w:ind w:left="460" w:hanging="260"/>
      </w:pPr>
      <w:r>
        <w:rPr>
          <w:color w:val="555555"/>
          <w:sz w:val="18"/>
          <w:szCs w:val="18"/>
        </w:rPr>
        <w:t xml:space="preserve">• </w:t>
      </w:r>
      <w:r>
        <w:rPr>
          <w:i w:val="false"/>
          <w:iCs w:val="false"/>
          <w:color w:val="555555"/>
          <w:sz w:val="18"/>
          <w:szCs w:val="18"/>
        </w:rPr>
        <w:t xml:space="preserve">Hillier, F. S., &amp; Lieberman, G. J. (2015). </w:t>
      </w:r>
      <w:r>
        <w:rPr>
          <w:i/>
          <w:iCs/>
          <w:color w:val="555555"/>
          <w:sz w:val="18"/>
          <w:szCs w:val="18"/>
        </w:rPr>
        <w:t xml:space="preserve">Introduction to operations research</w:t>
      </w:r>
      <w:r>
        <w:rPr>
          <w:i w:val="false"/>
          <w:iCs w:val="false"/>
          <w:color w:val="555555"/>
          <w:sz w:val="18"/>
          <w:szCs w:val="18"/>
        </w:rPr>
        <w:t xml:space="preserve"> (10.ª ed.). McGraw-Hill Education.</w:t>
      </w:r>
    </w:p>
    <w:p>
      <w:pPr>
        <w:spacing w:after="60"/>
        <w:ind w:left="460" w:hanging="260"/>
      </w:pPr>
      <w:r>
        <w:rPr>
          <w:color w:val="555555"/>
          <w:sz w:val="18"/>
          <w:szCs w:val="18"/>
        </w:rPr>
        <w:t xml:space="preserve">• </w:t>
      </w:r>
      <w:r>
        <w:rPr>
          <w:i w:val="false"/>
          <w:iCs w:val="false"/>
          <w:color w:val="555555"/>
          <w:sz w:val="18"/>
          <w:szCs w:val="18"/>
        </w:rPr>
        <w:t xml:space="preserve">Frontline Systems, Inc. (2023). </w:t>
      </w:r>
      <w:r>
        <w:rPr>
          <w:i/>
          <w:iCs/>
          <w:color w:val="555555"/>
          <w:sz w:val="18"/>
          <w:szCs w:val="18"/>
        </w:rPr>
        <w:t xml:space="preserve">Excel Solver</w:t>
      </w:r>
      <w:r>
        <w:rPr>
          <w:i w:val="false"/>
          <w:iCs w:val="false"/>
          <w:color w:val="555555"/>
          <w:sz w:val="18"/>
          <w:szCs w:val="18"/>
        </w:rPr>
        <w:t xml:space="preserve"> (complemento de Microsoft Excel) [software]. https://www.solver.com</w:t>
      </w:r>
    </w:p>
    <w:p>
      <w:pPr>
        <w:spacing w:after="0"/>
        <w:ind w:left="460" w:hanging="260"/>
      </w:pPr>
      <w:r>
        <w:rPr>
          <w:color w:val="555555"/>
          <w:sz w:val="18"/>
          <w:szCs w:val="18"/>
        </w:rPr>
        <w:t xml:space="preserve">• </w:t>
      </w:r>
      <w:r>
        <w:rPr>
          <w:i w:val="false"/>
          <w:iCs w:val="false"/>
          <w:color w:val="555555"/>
          <w:sz w:val="18"/>
          <w:szCs w:val="18"/>
        </w:rPr>
        <w:t xml:space="preserve">LINDO Systems, Inc. (2023). </w:t>
      </w:r>
      <w:r>
        <w:rPr>
          <w:i/>
          <w:iCs/>
          <w:color w:val="555555"/>
          <w:sz w:val="18"/>
          <w:szCs w:val="18"/>
        </w:rPr>
        <w:t xml:space="preserve">LINDO</w:t>
      </w:r>
      <w:r>
        <w:rPr>
          <w:i w:val="false"/>
          <w:iCs w:val="false"/>
          <w:color w:val="555555"/>
          <w:sz w:val="18"/>
          <w:szCs w:val="18"/>
        </w:rPr>
        <w:t xml:space="preserve"> (versión 15.0) [software]. https://www.lindo.com</w:t>
      </w:r>
    </w:p>
    <w:p>
      <w:pPr>
        <w:pStyle w:val="Heading1"/>
        <w:pBdr>
          <w:bottom w:val="single" w:color="1F3864" w:sz="8" w:space="4"/>
        </w:pBdr>
        <w:spacing w:after="200" w:before="360"/>
      </w:pPr>
      <w:r>
        <w:rPr>
          <w:b/>
          <w:bCs/>
          <w:color w:val="1F3864"/>
          <w:sz w:val="28"/>
          <w:szCs w:val="28"/>
        </w:rPr>
        <w:t xml:space="preserve">6. Análisis de sensibilidad y escenarios</w:t>
      </w:r>
    </w:p>
    <w:p>
      <w:pPr>
        <w:spacing w:after="160" w:line="276"/>
        <w:jc w:val="both"/>
      </w:pPr>
      <w:r>
        <w:rPr>
          <w:sz w:val="22"/>
          <w:szCs w:val="22"/>
        </w:rPr>
        <w:t xml:space="preserve">El análisis de sensibilidad permite anticipar el impacto de cambios en la oferta o la demanda sobre el costo total de transporte, información clave para la planeación de la empresa. Se plantean a continuación tres escenarios: dos de sensibilidad pura sobre los datos originales y uno de evaluación costo-beneficio ante una decisión estratégica (abrir un nuevo centro de distribución).</w:t>
      </w:r>
    </w:p>
    <w:p>
      <w:pPr>
        <w:pStyle w:val="Heading2"/>
        <w:spacing w:after="140" w:before="280"/>
      </w:pPr>
      <w:r>
        <w:rPr>
          <w:b/>
          <w:bCs/>
          <w:color w:val="1F3864"/>
          <w:sz w:val="24"/>
          <w:szCs w:val="24"/>
        </w:rPr>
        <w:t xml:space="preserve">6.1 Escenario A: incremento de la demanda en el punto de venta 3</w:t>
      </w:r>
    </w:p>
    <w:p>
      <w:pPr>
        <w:spacing w:after="160" w:line="276"/>
        <w:jc w:val="both"/>
      </w:pPr>
      <w:r>
        <w:rPr>
          <w:sz w:val="22"/>
          <w:szCs w:val="22"/>
        </w:rPr>
        <w:t xml:space="preserve">Se supone que, por una promoción comercial, la demanda del punto de venta 3 aumenta en 30 unidades (de 120 a 150). Para mantener el equilibrio oferta-demanda se asume que la empresa amplía en la misma cantidad la disponibilidad del centro B (de 150 a 180 unidades), por ser el centro con costo base más cercano al de A.</w:t>
      </w:r>
    </w:p>
    <w:p>
      <w:pPr>
        <w:spacing w:after="160" w:line="276"/>
        <w:jc w:val="both"/>
      </w:pPr>
      <w:r>
        <w:rPr>
          <w:sz w:val="22"/>
          <w:szCs w:val="22"/>
        </w:rPr>
        <w:t xml:space="preserve">Aplicando la propiedad de separabilidad de costos demostrada en la sección 4.4 (Z = Σ a_i·Si + Σ b_j·Dj), el nuevo costo óptimo es:</w:t>
      </w:r>
    </w:p>
    <w:p>
      <w:pPr>
        <w:spacing w:after="160" w:before="100"/>
        <w:jc w:val="center"/>
      </w:pPr>
      <w:r>
        <w:rPr>
          <w:i/>
          <w:iCs/>
          <w:sz w:val="22"/>
          <w:szCs w:val="22"/>
        </w:rPr>
        <w:t xml:space="preserve">Z = (4×100 + 5×180 + 6×200) + (0×80 + 2×90 + 4×150 + 6×60 + 8×100) = 2 500 + 1 940 = 4 440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rPr>
          <w:cantSplit/>
          <w:tblHeader/>
        </w:trPr>
        <w:tc>
          <w:tcPr>
            <w:tcW w:type="dxa" w:w="4200"/>
            <w:shd w:fill="1F3864" w:color="auto" w:val="clear"/>
            <w:tcMar>
              <w:top w:type="dxa" w:w="80"/>
              <w:left w:type="dxa" w:w="100"/>
              <w:bottom w:type="dxa" w:w="80"/>
              <w:right w:type="dxa" w:w="100"/>
            </w:tcMar>
            <w:vAlign w:val="center"/>
          </w:tcPr>
          <w:p>
            <w:pPr>
              <w:jc w:val="center"/>
            </w:pPr>
            <w:r>
              <w:rPr>
                <w:b/>
                <w:bCs/>
                <w:color w:val="FFFFFF"/>
                <w:sz w:val="20"/>
                <w:szCs w:val="20"/>
              </w:rPr>
              <w:t xml:space="preserve">Concepto</w:t>
            </w:r>
          </w:p>
        </w:tc>
        <w:tc>
          <w:tcPr>
            <w:tcW w:type="dxa" w:w="2580"/>
            <w:shd w:fill="1F3864" w:color="auto" w:val="clear"/>
            <w:tcMar>
              <w:top w:type="dxa" w:w="80"/>
              <w:left w:type="dxa" w:w="100"/>
              <w:bottom w:type="dxa" w:w="80"/>
              <w:right w:type="dxa" w:w="100"/>
            </w:tcMar>
            <w:vAlign w:val="center"/>
          </w:tcPr>
          <w:p>
            <w:pPr>
              <w:jc w:val="center"/>
            </w:pPr>
            <w:r>
              <w:rPr>
                <w:b/>
                <w:bCs/>
                <w:color w:val="FFFFFF"/>
                <w:sz w:val="20"/>
                <w:szCs w:val="20"/>
              </w:rPr>
              <w:t xml:space="preserve">Valor base</w:t>
            </w:r>
          </w:p>
        </w:tc>
        <w:tc>
          <w:tcPr>
            <w:tcW w:type="dxa" w:w="2580"/>
            <w:shd w:fill="1F3864" w:color="auto" w:val="clear"/>
            <w:tcMar>
              <w:top w:type="dxa" w:w="80"/>
              <w:left w:type="dxa" w:w="100"/>
              <w:bottom w:type="dxa" w:w="80"/>
              <w:right w:type="dxa" w:w="100"/>
            </w:tcMar>
            <w:vAlign w:val="center"/>
          </w:tcPr>
          <w:p>
            <w:pPr>
              <w:jc w:val="center"/>
            </w:pPr>
            <w:r>
              <w:rPr>
                <w:b/>
                <w:bCs/>
                <w:color w:val="FFFFFF"/>
                <w:sz w:val="20"/>
                <w:szCs w:val="20"/>
              </w:rPr>
              <w:t xml:space="preserve">Escenario A</w:t>
            </w:r>
          </w:p>
        </w:tc>
      </w:tr>
      <w:tr>
        <w:trPr>
          <w:cantSplit/>
        </w:trPr>
        <w:tc>
          <w:tcPr>
            <w:tcW w:type="dxa" w:w="420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Demanda punto 3</w:t>
            </w:r>
          </w:p>
        </w:tc>
        <w:tc>
          <w:tcPr>
            <w:tcW w:type="dxa" w:w="258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120</w:t>
            </w:r>
          </w:p>
        </w:tc>
        <w:tc>
          <w:tcPr>
            <w:tcW w:type="dxa" w:w="258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150 (+30)</w:t>
            </w:r>
          </w:p>
        </w:tc>
      </w:tr>
      <w:tr>
        <w:trPr>
          <w:cantSplit/>
        </w:trPr>
        <w:tc>
          <w:tcPr>
            <w:tcW w:type="dxa" w:w="4200"/>
            <w:shd w:fill="F2F2F2" w:color="auto" w:val="clear"/>
            <w:tcMar>
              <w:top w:type="dxa" w:w="80"/>
              <w:left w:type="dxa" w:w="100"/>
              <w:bottom w:type="dxa" w:w="80"/>
              <w:right w:type="dxa" w:w="100"/>
            </w:tcMar>
            <w:vAlign w:val="center"/>
          </w:tcPr>
          <w:p>
            <w:pPr>
              <w:jc w:val="center"/>
            </w:pPr>
            <w:r>
              <w:rPr>
                <w:b w:val="false"/>
                <w:bCs w:val="false"/>
                <w:color w:val="000000"/>
                <w:sz w:val="20"/>
                <w:szCs w:val="20"/>
              </w:rPr>
              <w:t xml:space="preserve">Disponibilidad B</w:t>
            </w:r>
          </w:p>
        </w:tc>
        <w:tc>
          <w:tcPr>
            <w:tcW w:type="dxa" w:w="2580"/>
            <w:shd w:fill="F2F2F2" w:color="auto" w:val="clear"/>
            <w:tcMar>
              <w:top w:type="dxa" w:w="80"/>
              <w:left w:type="dxa" w:w="100"/>
              <w:bottom w:type="dxa" w:w="80"/>
              <w:right w:type="dxa" w:w="100"/>
            </w:tcMar>
            <w:vAlign w:val="center"/>
          </w:tcPr>
          <w:p>
            <w:pPr>
              <w:jc w:val="center"/>
            </w:pPr>
            <w:r>
              <w:rPr>
                <w:b w:val="false"/>
                <w:bCs w:val="false"/>
                <w:color w:val="000000"/>
                <w:sz w:val="20"/>
                <w:szCs w:val="20"/>
              </w:rPr>
              <w:t xml:space="preserve">150</w:t>
            </w:r>
          </w:p>
        </w:tc>
        <w:tc>
          <w:tcPr>
            <w:tcW w:type="dxa" w:w="2580"/>
            <w:shd w:fill="F2F2F2" w:color="auto" w:val="clear"/>
            <w:tcMar>
              <w:top w:type="dxa" w:w="80"/>
              <w:left w:type="dxa" w:w="100"/>
              <w:bottom w:type="dxa" w:w="80"/>
              <w:right w:type="dxa" w:w="100"/>
            </w:tcMar>
            <w:vAlign w:val="center"/>
          </w:tcPr>
          <w:p>
            <w:pPr>
              <w:jc w:val="center"/>
            </w:pPr>
            <w:r>
              <w:rPr>
                <w:b w:val="false"/>
                <w:bCs w:val="false"/>
                <w:color w:val="000000"/>
                <w:sz w:val="20"/>
                <w:szCs w:val="20"/>
              </w:rPr>
              <w:t xml:space="preserve">180 (+30, para compensar)</w:t>
            </w:r>
          </w:p>
        </w:tc>
      </w:tr>
      <w:tr>
        <w:trPr>
          <w:cantSplit/>
        </w:trPr>
        <w:tc>
          <w:tcPr>
            <w:tcW w:type="dxa" w:w="420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Costo total óptimo</w:t>
            </w:r>
          </w:p>
        </w:tc>
        <w:tc>
          <w:tcPr>
            <w:tcW w:type="dxa" w:w="258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4 170</w:t>
            </w:r>
          </w:p>
        </w:tc>
        <w:tc>
          <w:tcPr>
            <w:tcW w:type="dxa" w:w="258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4 440</w:t>
            </w:r>
          </w:p>
        </w:tc>
      </w:tr>
      <w:tr>
        <w:trPr>
          <w:cantSplit/>
        </w:trPr>
        <w:tc>
          <w:tcPr>
            <w:tcW w:type="dxa" w:w="4200"/>
            <w:shd w:fill="F2F2F2" w:color="auto" w:val="clear"/>
            <w:tcMar>
              <w:top w:type="dxa" w:w="80"/>
              <w:left w:type="dxa" w:w="100"/>
              <w:bottom w:type="dxa" w:w="80"/>
              <w:right w:type="dxa" w:w="100"/>
            </w:tcMar>
            <w:vAlign w:val="center"/>
          </w:tcPr>
          <w:p>
            <w:pPr>
              <w:jc w:val="center"/>
            </w:pPr>
            <w:r>
              <w:rPr>
                <w:b w:val="false"/>
                <w:bCs w:val="false"/>
                <w:color w:val="000000"/>
                <w:sz w:val="20"/>
                <w:szCs w:val="20"/>
              </w:rPr>
              <w:t xml:space="preserve">Variación</w:t>
            </w:r>
          </w:p>
        </w:tc>
        <w:tc>
          <w:tcPr>
            <w:tcW w:type="dxa" w:w="2580"/>
            <w:shd w:fill="F2F2F2" w:color="auto" w:val="clear"/>
            <w:tcMar>
              <w:top w:type="dxa" w:w="80"/>
              <w:left w:type="dxa" w:w="100"/>
              <w:bottom w:type="dxa" w:w="80"/>
              <w:right w:type="dxa" w:w="100"/>
            </w:tcMar>
            <w:vAlign w:val="center"/>
          </w:tcPr>
          <w:p>
            <w:pPr>
              <w:jc w:val="center"/>
            </w:pPr>
            <w:r>
              <w:rPr>
                <w:b w:val="false"/>
                <w:bCs w:val="false"/>
                <w:color w:val="000000"/>
                <w:sz w:val="20"/>
                <w:szCs w:val="20"/>
              </w:rPr>
              <w:t xml:space="preserve">—</w:t>
            </w:r>
          </w:p>
        </w:tc>
        <w:tc>
          <w:tcPr>
            <w:tcW w:type="dxa" w:w="2580"/>
            <w:shd w:fill="F2F2F2" w:color="auto" w:val="clear"/>
            <w:tcMar>
              <w:top w:type="dxa" w:w="80"/>
              <w:left w:type="dxa" w:w="100"/>
              <w:bottom w:type="dxa" w:w="80"/>
              <w:right w:type="dxa" w:w="100"/>
            </w:tcMar>
            <w:vAlign w:val="center"/>
          </w:tcPr>
          <w:p>
            <w:pPr>
              <w:jc w:val="center"/>
            </w:pPr>
            <w:r>
              <w:rPr>
                <w:b w:val="false"/>
                <w:bCs w:val="false"/>
                <w:color w:val="000000"/>
                <w:sz w:val="20"/>
                <w:szCs w:val="20"/>
              </w:rPr>
              <w:t xml:space="preserve">+270 (+6,5 %)</w:t>
            </w:r>
          </w:p>
        </w:tc>
      </w:tr>
    </w:tbl>
    <w:p>
      <w:pPr>
        <w:spacing w:after="240" w:before="60"/>
        <w:jc w:val="center"/>
      </w:pPr>
      <w:r>
        <w:rPr>
          <w:i/>
          <w:iCs/>
          <w:color w:val="555555"/>
          <w:sz w:val="18"/>
          <w:szCs w:val="18"/>
        </w:rPr>
        <w:t xml:space="preserve">Tabla 7. Escenario A — incremento de demanda en el punto de venta 3.</w:t>
      </w:r>
    </w:p>
    <w:p>
      <w:pPr>
        <w:spacing w:after="160" w:line="276"/>
        <w:jc w:val="both"/>
      </w:pPr>
      <w:r>
        <w:rPr>
          <w:sz w:val="22"/>
          <w:szCs w:val="22"/>
        </w:rPr>
        <w:t xml:space="preserve">El costo total aumenta en 270 unidades monetarias (+6,5 %) respecto del caso base. El incremento se explica porque atender más unidades en el punto 3 —que tiene un recargo de distancia relativamente alto (b_3 = 4)— exige movilizar más producto desde centros con mayor costo base.</w:t>
      </w:r>
    </w:p>
    <w:p>
      <w:pPr>
        <w:pStyle w:val="Heading2"/>
        <w:spacing w:after="140" w:before="280"/>
      </w:pPr>
      <w:r>
        <w:rPr>
          <w:b/>
          <w:bCs/>
          <w:color w:val="1F3864"/>
          <w:sz w:val="24"/>
          <w:szCs w:val="24"/>
        </w:rPr>
        <w:t xml:space="preserve">6.2 Escenario B: traslado de disponibilidad del centro C al centro B</w:t>
      </w:r>
    </w:p>
    <w:p>
      <w:pPr>
        <w:spacing w:after="160" w:line="276"/>
        <w:jc w:val="both"/>
      </w:pPr>
      <w:r>
        <w:rPr>
          <w:sz w:val="22"/>
          <w:szCs w:val="22"/>
        </w:rPr>
        <w:t xml:space="preserve">Se supone una disrupción parcial en el centro C (por ejemplo, mantenimiento de una línea de empaque) que reduce su disponibilidad de 200 a 150 unidades, compensada trasladando esa capacidad al centro B, que pasa de 150 a 200 unidades. La demanda total no cambia.</w:t>
      </w:r>
    </w:p>
    <w:p>
      <w:pPr>
        <w:spacing w:after="160" w:before="100"/>
        <w:jc w:val="center"/>
      </w:pPr>
      <w:r>
        <w:rPr>
          <w:i/>
          <w:iCs/>
          <w:sz w:val="22"/>
          <w:szCs w:val="22"/>
        </w:rPr>
        <w:t xml:space="preserve">Z = (4×100 + 5×200 + 6×150) + (0×80 + 2×90 + 4×120 + 6×60 + 8×100) = 2 300 + 1 820 = 4 120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rPr>
          <w:cantSplit/>
          <w:tblHeader/>
        </w:trPr>
        <w:tc>
          <w:tcPr>
            <w:tcW w:type="dxa" w:w="4200"/>
            <w:shd w:fill="1F3864" w:color="auto" w:val="clear"/>
            <w:tcMar>
              <w:top w:type="dxa" w:w="80"/>
              <w:left w:type="dxa" w:w="100"/>
              <w:bottom w:type="dxa" w:w="80"/>
              <w:right w:type="dxa" w:w="100"/>
            </w:tcMar>
            <w:vAlign w:val="center"/>
          </w:tcPr>
          <w:p>
            <w:pPr>
              <w:jc w:val="center"/>
            </w:pPr>
            <w:r>
              <w:rPr>
                <w:b/>
                <w:bCs/>
                <w:color w:val="FFFFFF"/>
                <w:sz w:val="20"/>
                <w:szCs w:val="20"/>
              </w:rPr>
              <w:t xml:space="preserve">Concepto</w:t>
            </w:r>
          </w:p>
        </w:tc>
        <w:tc>
          <w:tcPr>
            <w:tcW w:type="dxa" w:w="2580"/>
            <w:shd w:fill="1F3864" w:color="auto" w:val="clear"/>
            <w:tcMar>
              <w:top w:type="dxa" w:w="80"/>
              <w:left w:type="dxa" w:w="100"/>
              <w:bottom w:type="dxa" w:w="80"/>
              <w:right w:type="dxa" w:w="100"/>
            </w:tcMar>
            <w:vAlign w:val="center"/>
          </w:tcPr>
          <w:p>
            <w:pPr>
              <w:jc w:val="center"/>
            </w:pPr>
            <w:r>
              <w:rPr>
                <w:b/>
                <w:bCs/>
                <w:color w:val="FFFFFF"/>
                <w:sz w:val="20"/>
                <w:szCs w:val="20"/>
              </w:rPr>
              <w:t xml:space="preserve">Valor base</w:t>
            </w:r>
          </w:p>
        </w:tc>
        <w:tc>
          <w:tcPr>
            <w:tcW w:type="dxa" w:w="2580"/>
            <w:shd w:fill="1F3864" w:color="auto" w:val="clear"/>
            <w:tcMar>
              <w:top w:type="dxa" w:w="80"/>
              <w:left w:type="dxa" w:w="100"/>
              <w:bottom w:type="dxa" w:w="80"/>
              <w:right w:type="dxa" w:w="100"/>
            </w:tcMar>
            <w:vAlign w:val="center"/>
          </w:tcPr>
          <w:p>
            <w:pPr>
              <w:jc w:val="center"/>
            </w:pPr>
            <w:r>
              <w:rPr>
                <w:b/>
                <w:bCs/>
                <w:color w:val="FFFFFF"/>
                <w:sz w:val="20"/>
                <w:szCs w:val="20"/>
              </w:rPr>
              <w:t xml:space="preserve">Escenario B</w:t>
            </w:r>
          </w:p>
        </w:tc>
      </w:tr>
      <w:tr>
        <w:trPr>
          <w:cantSplit/>
        </w:trPr>
        <w:tc>
          <w:tcPr>
            <w:tcW w:type="dxa" w:w="420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Disponibilidad B</w:t>
            </w:r>
          </w:p>
        </w:tc>
        <w:tc>
          <w:tcPr>
            <w:tcW w:type="dxa" w:w="258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150</w:t>
            </w:r>
          </w:p>
        </w:tc>
        <w:tc>
          <w:tcPr>
            <w:tcW w:type="dxa" w:w="258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200 (+50)</w:t>
            </w:r>
          </w:p>
        </w:tc>
      </w:tr>
      <w:tr>
        <w:trPr>
          <w:cantSplit/>
        </w:trPr>
        <w:tc>
          <w:tcPr>
            <w:tcW w:type="dxa" w:w="4200"/>
            <w:shd w:fill="F2F2F2" w:color="auto" w:val="clear"/>
            <w:tcMar>
              <w:top w:type="dxa" w:w="80"/>
              <w:left w:type="dxa" w:w="100"/>
              <w:bottom w:type="dxa" w:w="80"/>
              <w:right w:type="dxa" w:w="100"/>
            </w:tcMar>
            <w:vAlign w:val="center"/>
          </w:tcPr>
          <w:p>
            <w:pPr>
              <w:jc w:val="center"/>
            </w:pPr>
            <w:r>
              <w:rPr>
                <w:b w:val="false"/>
                <w:bCs w:val="false"/>
                <w:color w:val="000000"/>
                <w:sz w:val="20"/>
                <w:szCs w:val="20"/>
              </w:rPr>
              <w:t xml:space="preserve">Disponibilidad C</w:t>
            </w:r>
          </w:p>
        </w:tc>
        <w:tc>
          <w:tcPr>
            <w:tcW w:type="dxa" w:w="2580"/>
            <w:shd w:fill="F2F2F2" w:color="auto" w:val="clear"/>
            <w:tcMar>
              <w:top w:type="dxa" w:w="80"/>
              <w:left w:type="dxa" w:w="100"/>
              <w:bottom w:type="dxa" w:w="80"/>
              <w:right w:type="dxa" w:w="100"/>
            </w:tcMar>
            <w:vAlign w:val="center"/>
          </w:tcPr>
          <w:p>
            <w:pPr>
              <w:jc w:val="center"/>
            </w:pPr>
            <w:r>
              <w:rPr>
                <w:b w:val="false"/>
                <w:bCs w:val="false"/>
                <w:color w:val="000000"/>
                <w:sz w:val="20"/>
                <w:szCs w:val="20"/>
              </w:rPr>
              <w:t xml:space="preserve">200</w:t>
            </w:r>
          </w:p>
        </w:tc>
        <w:tc>
          <w:tcPr>
            <w:tcW w:type="dxa" w:w="2580"/>
            <w:shd w:fill="F2F2F2" w:color="auto" w:val="clear"/>
            <w:tcMar>
              <w:top w:type="dxa" w:w="80"/>
              <w:left w:type="dxa" w:w="100"/>
              <w:bottom w:type="dxa" w:w="80"/>
              <w:right w:type="dxa" w:w="100"/>
            </w:tcMar>
            <w:vAlign w:val="center"/>
          </w:tcPr>
          <w:p>
            <w:pPr>
              <w:jc w:val="center"/>
            </w:pPr>
            <w:r>
              <w:rPr>
                <w:b w:val="false"/>
                <w:bCs w:val="false"/>
                <w:color w:val="000000"/>
                <w:sz w:val="20"/>
                <w:szCs w:val="20"/>
              </w:rPr>
              <w:t xml:space="preserve">150 (−50)</w:t>
            </w:r>
          </w:p>
        </w:tc>
      </w:tr>
      <w:tr>
        <w:trPr>
          <w:cantSplit/>
        </w:trPr>
        <w:tc>
          <w:tcPr>
            <w:tcW w:type="dxa" w:w="420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Costo total óptimo</w:t>
            </w:r>
          </w:p>
        </w:tc>
        <w:tc>
          <w:tcPr>
            <w:tcW w:type="dxa" w:w="258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4 170</w:t>
            </w:r>
          </w:p>
        </w:tc>
        <w:tc>
          <w:tcPr>
            <w:tcW w:type="dxa" w:w="258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4 120</w:t>
            </w:r>
          </w:p>
        </w:tc>
      </w:tr>
      <w:tr>
        <w:trPr>
          <w:cantSplit/>
        </w:trPr>
        <w:tc>
          <w:tcPr>
            <w:tcW w:type="dxa" w:w="4200"/>
            <w:shd w:fill="F2F2F2" w:color="auto" w:val="clear"/>
            <w:tcMar>
              <w:top w:type="dxa" w:w="80"/>
              <w:left w:type="dxa" w:w="100"/>
              <w:bottom w:type="dxa" w:w="80"/>
              <w:right w:type="dxa" w:w="100"/>
            </w:tcMar>
            <w:vAlign w:val="center"/>
          </w:tcPr>
          <w:p>
            <w:pPr>
              <w:jc w:val="center"/>
            </w:pPr>
            <w:r>
              <w:rPr>
                <w:b w:val="false"/>
                <w:bCs w:val="false"/>
                <w:color w:val="000000"/>
                <w:sz w:val="20"/>
                <w:szCs w:val="20"/>
              </w:rPr>
              <w:t xml:space="preserve">Variación</w:t>
            </w:r>
          </w:p>
        </w:tc>
        <w:tc>
          <w:tcPr>
            <w:tcW w:type="dxa" w:w="2580"/>
            <w:shd w:fill="F2F2F2" w:color="auto" w:val="clear"/>
            <w:tcMar>
              <w:top w:type="dxa" w:w="80"/>
              <w:left w:type="dxa" w:w="100"/>
              <w:bottom w:type="dxa" w:w="80"/>
              <w:right w:type="dxa" w:w="100"/>
            </w:tcMar>
            <w:vAlign w:val="center"/>
          </w:tcPr>
          <w:p>
            <w:pPr>
              <w:jc w:val="center"/>
            </w:pPr>
            <w:r>
              <w:rPr>
                <w:b w:val="false"/>
                <w:bCs w:val="false"/>
                <w:color w:val="000000"/>
                <w:sz w:val="20"/>
                <w:szCs w:val="20"/>
              </w:rPr>
              <w:t xml:space="preserve">—</w:t>
            </w:r>
          </w:p>
        </w:tc>
        <w:tc>
          <w:tcPr>
            <w:tcW w:type="dxa" w:w="2580"/>
            <w:shd w:fill="F2F2F2" w:color="auto" w:val="clear"/>
            <w:tcMar>
              <w:top w:type="dxa" w:w="80"/>
              <w:left w:type="dxa" w:w="100"/>
              <w:bottom w:type="dxa" w:w="80"/>
              <w:right w:type="dxa" w:w="100"/>
            </w:tcMar>
            <w:vAlign w:val="center"/>
          </w:tcPr>
          <w:p>
            <w:pPr>
              <w:jc w:val="center"/>
            </w:pPr>
            <w:r>
              <w:rPr>
                <w:b w:val="false"/>
                <w:bCs w:val="false"/>
                <w:color w:val="000000"/>
                <w:sz w:val="20"/>
                <w:szCs w:val="20"/>
              </w:rPr>
              <w:t xml:space="preserve">−50 (−1,2 %)</w:t>
            </w:r>
          </w:p>
        </w:tc>
      </w:tr>
    </w:tbl>
    <w:p>
      <w:pPr>
        <w:spacing w:after="240" w:before="60"/>
        <w:jc w:val="center"/>
      </w:pPr>
      <w:r>
        <w:rPr>
          <w:i/>
          <w:iCs/>
          <w:color w:val="555555"/>
          <w:sz w:val="18"/>
          <w:szCs w:val="18"/>
        </w:rPr>
        <w:t xml:space="preserve">Tabla 8. Escenario B — traslado de disponibilidad de C hacia B.</w:t>
      </w:r>
    </w:p>
    <w:p>
      <w:pPr>
        <w:spacing w:after="160" w:line="276"/>
        <w:jc w:val="both"/>
      </w:pPr>
      <w:r>
        <w:rPr>
          <w:sz w:val="22"/>
          <w:szCs w:val="22"/>
        </w:rPr>
        <w:t xml:space="preserve">En este caso el costo total disminuye en 50 unidades monetarias (−1,2 %). El resultado confirma un principio general derivable de la estructura de costos: como B tiene un costo base menor que C (a_B = 5 &lt; a_C = 6), cualquier unidad de capacidad que se traslade de C hacia B reduce el costo total en (a_C − a_B) = 1 unidad monetaria por unidad trasladada, siempre que exista demanda suficiente para absorberla. Esto es información valiosa para decisiones de inversión en capacidad: ampliar B es, unidad por unidad, más rentable que ampliar C.</w:t>
      </w:r>
    </w:p>
    <w:p>
      <w:pPr>
        <w:pStyle w:val="Heading2"/>
        <w:spacing w:after="140" w:before="280"/>
      </w:pPr>
      <w:r>
        <w:rPr>
          <w:b/>
          <w:bCs/>
          <w:color w:val="1F3864"/>
          <w:sz w:val="24"/>
          <w:szCs w:val="24"/>
        </w:rPr>
        <w:t xml:space="preserve">6.3 Escenario C: apertura de un nuevo centro de distribución (análisis costo-beneficio)</w:t>
      </w:r>
    </w:p>
    <w:p>
      <w:pPr>
        <w:spacing w:after="160" w:line="276"/>
        <w:jc w:val="both"/>
      </w:pPr>
      <w:r>
        <w:rPr>
          <w:sz w:val="22"/>
          <w:szCs w:val="22"/>
        </w:rPr>
        <w:t xml:space="preserve">La empresa evalúa abrir un cuarto centro de distribución, D, ubicado estratégicamente cerca de los puntos de venta 4 y 5 (los de mayor costo de transporte en la red actual). Se supone, de forma ilustrativa, que D tendría una capacidad de 160 unidades y costos unitarios preferenciales de 7 y 8 hacia los puntos 4 y 5 respectivamente (frente a 12 y 14 desde C), y que no resultaría competitivo para abastecer los puntos 1, 2 y 3 por su ubicación.</w:t>
      </w:r>
    </w:p>
    <w:p>
      <w:pPr>
        <w:spacing w:after="160" w:line="276"/>
        <w:jc w:val="both"/>
      </w:pPr>
      <w:r>
        <w:rPr>
          <w:sz w:val="22"/>
          <w:szCs w:val="22"/>
        </w:rPr>
        <w:t xml:space="preserve">Bajo este supuesto, D absorbería toda la demanda de los puntos 4 y 5 (60 + 100 = 160 unidades, exactamente su capacidad), liberando a los centros A, B y C para concentrarse en los puntos 1, 2 y 3 (80 + 90 + 120 = 290 unidades), usando prioritariamente la capacidad más barata (A, luego B, y solo el remanente de 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1800"/>
        <w:gridCol w:w="1500"/>
        <w:gridCol w:w="1500"/>
      </w:tblGrid>
      <w:tr>
        <w:trPr>
          <w:cantSplit/>
          <w:tblHeader/>
        </w:trPr>
        <w:tc>
          <w:tcPr>
            <w:tcW w:type="dxa" w:w="4560"/>
            <w:shd w:fill="1F3864" w:color="auto" w:val="clear"/>
            <w:tcMar>
              <w:top w:type="dxa" w:w="80"/>
              <w:left w:type="dxa" w:w="100"/>
              <w:bottom w:type="dxa" w:w="80"/>
              <w:right w:type="dxa" w:w="100"/>
            </w:tcMar>
            <w:vAlign w:val="center"/>
          </w:tcPr>
          <w:p>
            <w:pPr>
              <w:jc w:val="center"/>
            </w:pPr>
            <w:r>
              <w:rPr>
                <w:b/>
                <w:bCs/>
                <w:color w:val="FFFFFF"/>
                <w:sz w:val="20"/>
                <w:szCs w:val="20"/>
              </w:rPr>
              <w:t xml:space="preserve">Ruta / concepto</w:t>
            </w:r>
          </w:p>
        </w:tc>
        <w:tc>
          <w:tcPr>
            <w:tcW w:type="dxa" w:w="1800"/>
            <w:shd w:fill="1F3864" w:color="auto" w:val="clear"/>
            <w:tcMar>
              <w:top w:type="dxa" w:w="80"/>
              <w:left w:type="dxa" w:w="100"/>
              <w:bottom w:type="dxa" w:w="80"/>
              <w:right w:type="dxa" w:w="100"/>
            </w:tcMar>
            <w:vAlign w:val="center"/>
          </w:tcPr>
          <w:p>
            <w:pPr>
              <w:jc w:val="center"/>
            </w:pPr>
            <w:r>
              <w:rPr>
                <w:b/>
                <w:bCs/>
                <w:color w:val="FFFFFF"/>
                <w:sz w:val="20"/>
                <w:szCs w:val="20"/>
              </w:rPr>
              <w:t xml:space="preserve">Unidades</w:t>
            </w:r>
          </w:p>
        </w:tc>
        <w:tc>
          <w:tcPr>
            <w:tcW w:type="dxa" w:w="1500"/>
            <w:shd w:fill="1F3864" w:color="auto" w:val="clear"/>
            <w:tcMar>
              <w:top w:type="dxa" w:w="80"/>
              <w:left w:type="dxa" w:w="100"/>
              <w:bottom w:type="dxa" w:w="80"/>
              <w:right w:type="dxa" w:w="100"/>
            </w:tcMar>
            <w:vAlign w:val="center"/>
          </w:tcPr>
          <w:p>
            <w:pPr>
              <w:jc w:val="center"/>
            </w:pPr>
            <w:r>
              <w:rPr>
                <w:b/>
                <w:bCs/>
                <w:color w:val="FFFFFF"/>
                <w:sz w:val="20"/>
                <w:szCs w:val="20"/>
              </w:rPr>
              <w:t xml:space="preserve">Costo unitario</w:t>
            </w:r>
          </w:p>
        </w:tc>
        <w:tc>
          <w:tcPr>
            <w:tcW w:type="dxa" w:w="1500"/>
            <w:shd w:fill="1F3864" w:color="auto" w:val="clear"/>
            <w:tcMar>
              <w:top w:type="dxa" w:w="80"/>
              <w:left w:type="dxa" w:w="100"/>
              <w:bottom w:type="dxa" w:w="80"/>
              <w:right w:type="dxa" w:w="100"/>
            </w:tcMar>
            <w:vAlign w:val="center"/>
          </w:tcPr>
          <w:p>
            <w:pPr>
              <w:jc w:val="center"/>
            </w:pPr>
            <w:r>
              <w:rPr>
                <w:b/>
                <w:bCs/>
                <w:color w:val="FFFFFF"/>
                <w:sz w:val="20"/>
                <w:szCs w:val="20"/>
              </w:rPr>
              <w:t xml:space="preserve">Subtotal</w:t>
            </w:r>
          </w:p>
        </w:tc>
      </w:tr>
      <w:tr>
        <w:trPr>
          <w:cantSplit/>
        </w:trPr>
        <w:tc>
          <w:tcPr>
            <w:tcW w:type="dxa" w:w="456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A, B, C → puntos 1, 2, 3 (óptimo interno)</w:t>
            </w:r>
          </w:p>
        </w:tc>
        <w:tc>
          <w:tcPr>
            <w:tcW w:type="dxa" w:w="180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290</w:t>
            </w:r>
          </w:p>
        </w:tc>
        <w:tc>
          <w:tcPr>
            <w:tcW w:type="dxa" w:w="150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w:t>
            </w:r>
          </w:p>
        </w:tc>
        <w:tc>
          <w:tcPr>
            <w:tcW w:type="dxa" w:w="150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2 050</w:t>
            </w:r>
          </w:p>
        </w:tc>
      </w:tr>
      <w:tr>
        <w:trPr>
          <w:cantSplit/>
        </w:trPr>
        <w:tc>
          <w:tcPr>
            <w:tcW w:type="dxa" w:w="4560"/>
            <w:shd w:fill="F2F2F2" w:color="auto" w:val="clear"/>
            <w:tcMar>
              <w:top w:type="dxa" w:w="80"/>
              <w:left w:type="dxa" w:w="100"/>
              <w:bottom w:type="dxa" w:w="80"/>
              <w:right w:type="dxa" w:w="100"/>
            </w:tcMar>
            <w:vAlign w:val="center"/>
          </w:tcPr>
          <w:p>
            <w:pPr>
              <w:jc w:val="center"/>
            </w:pPr>
            <w:r>
              <w:rPr>
                <w:b w:val="false"/>
                <w:bCs w:val="false"/>
                <w:color w:val="000000"/>
                <w:sz w:val="20"/>
                <w:szCs w:val="20"/>
              </w:rPr>
              <w:t xml:space="preserve">D → punto 4 (nuevo centro)</w:t>
            </w:r>
          </w:p>
        </w:tc>
        <w:tc>
          <w:tcPr>
            <w:tcW w:type="dxa" w:w="1800"/>
            <w:shd w:fill="F2F2F2" w:color="auto" w:val="clear"/>
            <w:tcMar>
              <w:top w:type="dxa" w:w="80"/>
              <w:left w:type="dxa" w:w="100"/>
              <w:bottom w:type="dxa" w:w="80"/>
              <w:right w:type="dxa" w:w="100"/>
            </w:tcMar>
            <w:vAlign w:val="center"/>
          </w:tcPr>
          <w:p>
            <w:pPr>
              <w:jc w:val="center"/>
            </w:pPr>
            <w:r>
              <w:rPr>
                <w:b w:val="false"/>
                <w:bCs w:val="false"/>
                <w:color w:val="000000"/>
                <w:sz w:val="20"/>
                <w:szCs w:val="20"/>
              </w:rPr>
              <w:t xml:space="preserve">60</w:t>
            </w:r>
          </w:p>
        </w:tc>
        <w:tc>
          <w:tcPr>
            <w:tcW w:type="dxa" w:w="1500"/>
            <w:shd w:fill="F2F2F2" w:color="auto" w:val="clear"/>
            <w:tcMar>
              <w:top w:type="dxa" w:w="80"/>
              <w:left w:type="dxa" w:w="100"/>
              <w:bottom w:type="dxa" w:w="80"/>
              <w:right w:type="dxa" w:w="100"/>
            </w:tcMar>
            <w:vAlign w:val="center"/>
          </w:tcPr>
          <w:p>
            <w:pPr>
              <w:jc w:val="center"/>
            </w:pPr>
            <w:r>
              <w:rPr>
                <w:b w:val="false"/>
                <w:bCs w:val="false"/>
                <w:color w:val="000000"/>
                <w:sz w:val="20"/>
                <w:szCs w:val="20"/>
              </w:rPr>
              <w:t xml:space="preserve">7</w:t>
            </w:r>
          </w:p>
        </w:tc>
        <w:tc>
          <w:tcPr>
            <w:tcW w:type="dxa" w:w="1500"/>
            <w:shd w:fill="F2F2F2" w:color="auto" w:val="clear"/>
            <w:tcMar>
              <w:top w:type="dxa" w:w="80"/>
              <w:left w:type="dxa" w:w="100"/>
              <w:bottom w:type="dxa" w:w="80"/>
              <w:right w:type="dxa" w:w="100"/>
            </w:tcMar>
            <w:vAlign w:val="center"/>
          </w:tcPr>
          <w:p>
            <w:pPr>
              <w:jc w:val="center"/>
            </w:pPr>
            <w:r>
              <w:rPr>
                <w:b w:val="false"/>
                <w:bCs w:val="false"/>
                <w:color w:val="000000"/>
                <w:sz w:val="20"/>
                <w:szCs w:val="20"/>
              </w:rPr>
              <w:t xml:space="preserve">420</w:t>
            </w:r>
          </w:p>
        </w:tc>
      </w:tr>
      <w:tr>
        <w:trPr>
          <w:cantSplit/>
        </w:trPr>
        <w:tc>
          <w:tcPr>
            <w:tcW w:type="dxa" w:w="456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D → punto 5 (nuevo centro)</w:t>
            </w:r>
          </w:p>
        </w:tc>
        <w:tc>
          <w:tcPr>
            <w:tcW w:type="dxa" w:w="180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100</w:t>
            </w:r>
          </w:p>
        </w:tc>
        <w:tc>
          <w:tcPr>
            <w:tcW w:type="dxa" w:w="150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8</w:t>
            </w:r>
          </w:p>
        </w:tc>
        <w:tc>
          <w:tcPr>
            <w:tcW w:type="dxa" w:w="1500"/>
            <w:shd w:fill="FFFFFF" w:color="auto" w:val="clear"/>
            <w:tcMar>
              <w:top w:type="dxa" w:w="80"/>
              <w:left w:type="dxa" w:w="100"/>
              <w:bottom w:type="dxa" w:w="80"/>
              <w:right w:type="dxa" w:w="100"/>
            </w:tcMar>
            <w:vAlign w:val="center"/>
          </w:tcPr>
          <w:p>
            <w:pPr>
              <w:jc w:val="center"/>
            </w:pPr>
            <w:r>
              <w:rPr>
                <w:b w:val="false"/>
                <w:bCs w:val="false"/>
                <w:color w:val="000000"/>
                <w:sz w:val="20"/>
                <w:szCs w:val="20"/>
              </w:rPr>
              <w:t xml:space="preserve">800</w:t>
            </w:r>
          </w:p>
        </w:tc>
      </w:tr>
      <w:tr>
        <w:trPr>
          <w:cantSplit/>
        </w:trPr>
        <w:tc>
          <w:tcPr>
            <w:tcW w:type="dxa" w:w="4560"/>
            <w:shd w:fill="F2F2F2" w:color="auto" w:val="clear"/>
            <w:tcMar>
              <w:top w:type="dxa" w:w="80"/>
              <w:left w:type="dxa" w:w="100"/>
              <w:bottom w:type="dxa" w:w="80"/>
              <w:right w:type="dxa" w:w="100"/>
            </w:tcMar>
            <w:vAlign w:val="center"/>
          </w:tcPr>
          <w:p>
            <w:pPr>
              <w:jc w:val="center"/>
            </w:pPr>
            <w:r>
              <w:rPr>
                <w:b w:val="false"/>
                <w:bCs w:val="false"/>
                <w:color w:val="000000"/>
                <w:sz w:val="20"/>
                <w:szCs w:val="20"/>
              </w:rPr>
              <w:t xml:space="preserve">Costo total con centro D</w:t>
            </w:r>
          </w:p>
        </w:tc>
        <w:tc>
          <w:tcPr>
            <w:tcW w:type="dxa" w:w="1800"/>
            <w:shd w:fill="F2F2F2" w:color="auto" w:val="clear"/>
            <w:tcMar>
              <w:top w:type="dxa" w:w="80"/>
              <w:left w:type="dxa" w:w="100"/>
              <w:bottom w:type="dxa" w:w="80"/>
              <w:right w:type="dxa" w:w="100"/>
            </w:tcMar>
            <w:vAlign w:val="center"/>
          </w:tcPr>
          <w:p>
            <w:pPr>
              <w:jc w:val="center"/>
            </w:pPr>
            <w:r>
              <w:rPr>
                <w:b w:val="false"/>
                <w:bCs w:val="false"/>
                <w:color w:val="000000"/>
                <w:sz w:val="20"/>
                <w:szCs w:val="20"/>
              </w:rPr>
              <w:t xml:space="preserve">450</w:t>
            </w:r>
          </w:p>
        </w:tc>
        <w:tc>
          <w:tcPr>
            <w:tcW w:type="dxa" w:w="1500"/>
            <w:shd w:fill="F2F2F2" w:color="auto" w:val="clear"/>
            <w:tcMar>
              <w:top w:type="dxa" w:w="80"/>
              <w:left w:type="dxa" w:w="100"/>
              <w:bottom w:type="dxa" w:w="80"/>
              <w:right w:type="dxa" w:w="100"/>
            </w:tcMar>
            <w:vAlign w:val="center"/>
          </w:tcPr>
          <w:p>
            <w:pPr>
              <w:jc w:val="center"/>
            </w:pPr>
            <w:r>
              <w:rPr>
                <w:b w:val="false"/>
                <w:bCs w:val="false"/>
                <w:color w:val="000000"/>
                <w:sz w:val="20"/>
                <w:szCs w:val="20"/>
              </w:rPr>
              <w:t xml:space="preserve">—</w:t>
            </w:r>
          </w:p>
        </w:tc>
        <w:tc>
          <w:tcPr>
            <w:tcW w:type="dxa" w:w="1500"/>
            <w:shd w:fill="F2F2F2" w:color="auto" w:val="clear"/>
            <w:tcMar>
              <w:top w:type="dxa" w:w="80"/>
              <w:left w:type="dxa" w:w="100"/>
              <w:bottom w:type="dxa" w:w="80"/>
              <w:right w:type="dxa" w:w="100"/>
            </w:tcMar>
            <w:vAlign w:val="center"/>
          </w:tcPr>
          <w:p>
            <w:pPr>
              <w:jc w:val="center"/>
            </w:pPr>
            <w:r>
              <w:rPr>
                <w:b w:val="false"/>
                <w:bCs w:val="false"/>
                <w:color w:val="000000"/>
                <w:sz w:val="20"/>
                <w:szCs w:val="20"/>
              </w:rPr>
              <w:t xml:space="preserve">3 270</w:t>
            </w:r>
          </w:p>
        </w:tc>
      </w:tr>
    </w:tbl>
    <w:p>
      <w:pPr>
        <w:spacing w:after="240" w:before="60"/>
        <w:jc w:val="center"/>
      </w:pPr>
      <w:r>
        <w:rPr>
          <w:i/>
          <w:iCs/>
          <w:color w:val="555555"/>
          <w:sz w:val="18"/>
          <w:szCs w:val="18"/>
        </w:rPr>
        <w:t xml:space="preserve">Tabla 9. Escenario C — red con el nuevo centro D especializado en los puntos 4 y 5.</w:t>
      </w:r>
    </w:p>
    <w:p>
      <w:pPr>
        <w:spacing w:after="160" w:line="276"/>
        <w:jc w:val="both"/>
      </w:pPr>
      <w:r>
        <w:rPr>
          <w:sz w:val="22"/>
          <w:szCs w:val="22"/>
        </w:rPr>
        <w:t xml:space="preserve">El costo total de transporte se reduciría de 4 170 a 3 270 unidades monetarias, un ahorro de 900 unidades monetarias por periodo (−21,6 %). Para decidir si conviene abrir el centro D, este ahorro operativo debe compararse contra el costo de la inversión y los costos fijos de operación del nuevo centro (arriendo o construcción, personal, equipamiento, permisos):</w:t>
      </w:r>
    </w:p>
    <w:p>
      <w:pPr>
        <w:pStyle w:val="ListParagraph"/>
        <w:numPr>
          <w:ilvl w:val="0"/>
          <w:numId w:val="2"/>
        </w:numPr>
        <w:spacing w:after="80"/>
      </w:pPr>
      <w:r>
        <w:rPr>
          <w:sz w:val="22"/>
          <w:szCs w:val="22"/>
        </w:rPr>
        <w:t xml:space="preserve">Si el costo fijo periódico de operar D es menor que el ahorro de 900 unidades monetarias por periodo, la apertura es recomendable desde el punto de vista financiero.</w:t>
      </w:r>
    </w:p>
    <w:p>
      <w:pPr>
        <w:pStyle w:val="ListParagraph"/>
        <w:numPr>
          <w:ilvl w:val="0"/>
          <w:numId w:val="2"/>
        </w:numPr>
        <w:spacing w:after="80"/>
      </w:pPr>
      <w:r>
        <w:rPr>
          <w:sz w:val="22"/>
          <w:szCs w:val="22"/>
        </w:rPr>
        <w:t xml:space="preserve">El periodo de recuperación simple de una inversión inicial I se estima como I / 900 periodos; por ejemplo, una inversión de 9 000 unidades monetarias se recuperaría en 10 periodos solo por ahorro en transporte, sin considerar otros beneficios (mejor nivel de servicio, menor tiempo de entrega).</w:t>
      </w:r>
    </w:p>
    <w:p>
      <w:pPr>
        <w:pStyle w:val="ListParagraph"/>
        <w:numPr>
          <w:ilvl w:val="0"/>
          <w:numId w:val="2"/>
        </w:numPr>
        <w:spacing w:after="80"/>
      </w:pPr>
      <w:r>
        <w:rPr>
          <w:sz w:val="22"/>
          <w:szCs w:val="22"/>
        </w:rPr>
        <w:t xml:space="preserve">Esta cifra es ilustrativa: la empresa debe sustituir los supuestos de capacidad y costo de D por datos reales de factibilidad antes de tomar la decisión final.</w:t>
      </w:r>
    </w:p>
    <w:p>
      <w:pPr>
        <w:spacing w:after="160" w:line="276"/>
        <w:jc w:val="both"/>
      </w:pPr>
      <w:r>
        <w:rPr>
          <w:sz w:val="22"/>
          <w:szCs w:val="22"/>
        </w:rPr>
        <w:t xml:space="preserve">Nota personal: el escenario C es, de los tres, el que más me convenció, o al menos el que yo recomendaría primero si me preguntaran, porque el ahorro no depende de un supuesto frágil (como asumir que el cliente aceptará esperar más) sino de algo tan concreto como acercar el centro a donde de verdad se necesita.</w:t>
      </w:r>
    </w:p>
    <w:p>
      <w:pPr>
        <w:pBdr>
          <w:top w:val="single" w:color="BFBFBF" w:sz="4" w:space="4"/>
        </w:pBdr>
        <w:spacing w:after="60" w:before="200"/>
      </w:pPr>
      <w:r>
        <w:rPr>
          <w:b/>
          <w:bCs/>
          <w:i/>
          <w:iCs/>
          <w:color w:val="555555"/>
          <w:sz w:val="18"/>
          <w:szCs w:val="18"/>
        </w:rPr>
        <w:t xml:space="preserve">Fuente(s) de esta sección (formato APA):</w:t>
      </w:r>
    </w:p>
    <w:p>
      <w:pPr>
        <w:spacing w:after="60"/>
        <w:ind w:left="460" w:hanging="260"/>
      </w:pPr>
      <w:r>
        <w:rPr>
          <w:color w:val="555555"/>
          <w:sz w:val="18"/>
          <w:szCs w:val="18"/>
        </w:rPr>
        <w:t xml:space="preserve">• </w:t>
      </w:r>
      <w:r>
        <w:rPr>
          <w:i w:val="false"/>
          <w:iCs w:val="false"/>
          <w:color w:val="555555"/>
          <w:sz w:val="18"/>
          <w:szCs w:val="18"/>
        </w:rPr>
        <w:t xml:space="preserve">Taha, H. A. (2017). </w:t>
      </w:r>
      <w:r>
        <w:rPr>
          <w:i/>
          <w:iCs/>
          <w:color w:val="555555"/>
          <w:sz w:val="18"/>
          <w:szCs w:val="18"/>
        </w:rPr>
        <w:t xml:space="preserve">Operations research: An introduction</w:t>
      </w:r>
      <w:r>
        <w:rPr>
          <w:i w:val="false"/>
          <w:iCs w:val="false"/>
          <w:color w:val="555555"/>
          <w:sz w:val="18"/>
          <w:szCs w:val="18"/>
        </w:rPr>
        <w:t xml:space="preserve"> (10.ª ed.). Pearson.</w:t>
      </w:r>
    </w:p>
    <w:p>
      <w:pPr>
        <w:spacing w:after="0"/>
        <w:ind w:left="460" w:hanging="260"/>
      </w:pPr>
      <w:r>
        <w:rPr>
          <w:color w:val="555555"/>
          <w:sz w:val="18"/>
          <w:szCs w:val="18"/>
        </w:rPr>
        <w:t xml:space="preserve">• </w:t>
      </w:r>
      <w:r>
        <w:rPr>
          <w:i w:val="false"/>
          <w:iCs w:val="false"/>
          <w:color w:val="555555"/>
          <w:sz w:val="18"/>
          <w:szCs w:val="18"/>
        </w:rPr>
        <w:t xml:space="preserve">Render, B., Stair, R. M., Hanna, M. E., &amp; Hale, T. S. (2018). </w:t>
      </w:r>
      <w:r>
        <w:rPr>
          <w:i/>
          <w:iCs/>
          <w:color w:val="555555"/>
          <w:sz w:val="18"/>
          <w:szCs w:val="18"/>
        </w:rPr>
        <w:t xml:space="preserve">Quantitative analysis for management</w:t>
      </w:r>
      <w:r>
        <w:rPr>
          <w:i w:val="false"/>
          <w:iCs w:val="false"/>
          <w:color w:val="555555"/>
          <w:sz w:val="18"/>
          <w:szCs w:val="18"/>
        </w:rPr>
        <w:t xml:space="preserve"> (13.ª ed.). Pearson.</w:t>
      </w:r>
    </w:p>
    <w:p>
      <w:pPr>
        <w:pStyle w:val="Heading1"/>
        <w:pBdr>
          <w:bottom w:val="single" w:color="1F3864" w:sz="8" w:space="4"/>
        </w:pBdr>
        <w:spacing w:after="200" w:before="360"/>
      </w:pPr>
      <w:r>
        <w:rPr>
          <w:b/>
          <w:bCs/>
          <w:color w:val="1F3864"/>
          <w:sz w:val="28"/>
          <w:szCs w:val="28"/>
        </w:rPr>
        <w:t xml:space="preserve">7. Presentación de resultados</w:t>
      </w:r>
    </w:p>
    <w:p>
      <w:pPr>
        <w:spacing w:after="160" w:line="276"/>
        <w:jc w:val="both"/>
      </w:pPr>
      <w:r>
        <w:rPr>
          <w:sz w:val="22"/>
          <w:szCs w:val="22"/>
        </w:rPr>
        <w:t xml:space="preserve">Para facilitar la comunicación de los resultados a la dirección de la empresa se presentan dos gráficos que resumen, respectivamente, el plan óptimo de distribución y la comparación de costos entre el escenario base y los escenarios de sensibilidad analizados.</w:t>
      </w:r>
    </w:p>
    <w:p>
      <w:pPr>
        <w:spacing w:after="60" w:before="120"/>
        <w:jc w:val="center"/>
      </w:pPr>
      <w:r>
        <w:drawing>
          <wp:inline distT="0" distB="0" distL="0" distR="0">
            <wp:extent cx="4953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857500"/>
                    </a:xfrm>
                    <a:prstGeom prst="rect">
                      <a:avLst/>
                    </a:prstGeom>
                  </pic:spPr>
                </pic:pic>
              </a:graphicData>
            </a:graphic>
          </wp:inline>
        </w:drawing>
      </w:r>
    </w:p>
    <w:p>
      <w:pPr>
        <w:spacing w:after="240" w:before="60"/>
        <w:jc w:val="center"/>
      </w:pPr>
      <w:r>
        <w:rPr>
          <w:i/>
          <w:iCs/>
          <w:color w:val="555555"/>
          <w:sz w:val="18"/>
          <w:szCs w:val="18"/>
        </w:rPr>
        <w:t xml:space="preserve">Gráfico 1. Unidades recibidas por cada punto de venta, desagregadas por centro de distribución de origen, según la solución óptima.</w:t>
      </w:r>
    </w:p>
    <w:p>
      <w:pPr>
        <w:spacing w:after="60" w:before="120"/>
        <w:jc w:val="center"/>
      </w:pPr>
      <w:r>
        <w:drawing>
          <wp:inline distT="0" distB="0" distL="0" distR="0">
            <wp:extent cx="4953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857500"/>
                    </a:xfrm>
                    <a:prstGeom prst="rect">
                      <a:avLst/>
                    </a:prstGeom>
                  </pic:spPr>
                </pic:pic>
              </a:graphicData>
            </a:graphic>
          </wp:inline>
        </w:drawing>
      </w:r>
    </w:p>
    <w:p>
      <w:pPr>
        <w:spacing w:after="240" w:before="60"/>
        <w:jc w:val="center"/>
      </w:pPr>
      <w:r>
        <w:rPr>
          <w:i/>
          <w:iCs/>
          <w:color w:val="555555"/>
          <w:sz w:val="18"/>
          <w:szCs w:val="18"/>
        </w:rPr>
        <w:t xml:space="preserve">Gráfico 2. Costo total de transporte en el escenario base y en cada uno de los tres escenarios de sensibilidad analizados.</w:t>
      </w:r>
    </w:p>
    <w:p>
      <w:pPr>
        <w:spacing w:after="160" w:line="276"/>
        <w:jc w:val="both"/>
      </w:pPr>
      <w:r>
        <w:rPr>
          <w:sz w:val="22"/>
          <w:szCs w:val="22"/>
        </w:rPr>
        <w:t xml:space="preserve">El gráfico 1 evidencia que ningún punto de venta depende de un único centro salvo los puntos 1, 4 y 5, que son abastecidos íntegramente por A y C respectivamente; los puntos 2 y 3 se nutren de dos centros, lo que otorga cierta redundancia ante eventuales interrupciones de suministro en un centro específico. El gráfico 2 muestra que el escenario más favorable de los analizados es la apertura del nuevo centro D (escenario C), seguido por el traslado de capacidad de C hacia B (escenario B); el escenario menos favorable es el incremento de demanda sin mejorar la red de costos (escenario A).</w:t>
      </w:r>
    </w:p>
    <w:p>
      <w:pPr>
        <w:spacing w:after="160" w:line="276"/>
        <w:jc w:val="both"/>
      </w:pPr>
      <w:r>
        <w:rPr>
          <w:sz w:val="22"/>
          <w:szCs w:val="22"/>
        </w:rPr>
        <w:t xml:space="preserve">Dicho en corto, o al menos así lo veo yo: el gráfico 2 es básicamente el resumen ejecutivo de todo el trabajo, porque de un vistazo se entiende qué escenario conviene más sin tener que releer las tres secciones de sensibilidad.</w:t>
      </w:r>
    </w:p>
    <w:p>
      <w:pPr>
        <w:pBdr>
          <w:top w:val="single" w:color="BFBFBF" w:sz="4" w:space="4"/>
        </w:pBdr>
        <w:spacing w:after="60" w:before="200"/>
      </w:pPr>
      <w:r>
        <w:rPr>
          <w:b/>
          <w:bCs/>
          <w:i/>
          <w:iCs/>
          <w:color w:val="555555"/>
          <w:sz w:val="18"/>
          <w:szCs w:val="18"/>
        </w:rPr>
        <w:t xml:space="preserve">Fuente(s) de esta sección (formato APA):</w:t>
      </w:r>
    </w:p>
    <w:p>
      <w:pPr>
        <w:spacing w:after="60"/>
        <w:ind w:left="460" w:hanging="260"/>
      </w:pPr>
      <w:r>
        <w:rPr>
          <w:color w:val="555555"/>
          <w:sz w:val="18"/>
          <w:szCs w:val="18"/>
        </w:rPr>
        <w:t xml:space="preserve">• </w:t>
      </w:r>
      <w:r>
        <w:rPr>
          <w:i w:val="false"/>
          <w:iCs w:val="false"/>
          <w:color w:val="555555"/>
          <w:sz w:val="18"/>
          <w:szCs w:val="18"/>
        </w:rPr>
        <w:t xml:space="preserve">Hillier, F. S., &amp; Lieberman, G. J. (2015). </w:t>
      </w:r>
      <w:r>
        <w:rPr>
          <w:i/>
          <w:iCs/>
          <w:color w:val="555555"/>
          <w:sz w:val="18"/>
          <w:szCs w:val="18"/>
        </w:rPr>
        <w:t xml:space="preserve">Introduction to operations research</w:t>
      </w:r>
      <w:r>
        <w:rPr>
          <w:i w:val="false"/>
          <w:iCs w:val="false"/>
          <w:color w:val="555555"/>
          <w:sz w:val="18"/>
          <w:szCs w:val="18"/>
        </w:rPr>
        <w:t xml:space="preserve"> (10.ª ed.). McGraw-Hill Education.</w:t>
      </w:r>
    </w:p>
    <w:p>
      <w:pPr>
        <w:spacing w:after="0"/>
        <w:ind w:left="460" w:hanging="260"/>
      </w:pPr>
      <w:r>
        <w:rPr>
          <w:color w:val="555555"/>
          <w:sz w:val="18"/>
          <w:szCs w:val="18"/>
        </w:rPr>
        <w:t xml:space="preserve">• </w:t>
      </w:r>
      <w:r>
        <w:rPr>
          <w:i w:val="false"/>
          <w:iCs w:val="false"/>
          <w:color w:val="555555"/>
          <w:sz w:val="18"/>
          <w:szCs w:val="18"/>
        </w:rPr>
        <w:t xml:space="preserve">Taha, H. A. (2017). </w:t>
      </w:r>
      <w:r>
        <w:rPr>
          <w:i/>
          <w:iCs/>
          <w:color w:val="555555"/>
          <w:sz w:val="18"/>
          <w:szCs w:val="18"/>
        </w:rPr>
        <w:t xml:space="preserve">Operations research: An introduction</w:t>
      </w:r>
      <w:r>
        <w:rPr>
          <w:i w:val="false"/>
          <w:iCs w:val="false"/>
          <w:color w:val="555555"/>
          <w:sz w:val="18"/>
          <w:szCs w:val="18"/>
        </w:rPr>
        <w:t xml:space="preserve"> (10.ª ed.). Pearson.</w:t>
      </w:r>
    </w:p>
    <w:p>
      <w:pPr>
        <w:pStyle w:val="Heading1"/>
        <w:pBdr>
          <w:bottom w:val="single" w:color="1F3864" w:sz="8" w:space="4"/>
        </w:pBdr>
        <w:spacing w:after="200" w:before="360"/>
      </w:pPr>
      <w:r>
        <w:rPr>
          <w:b/>
          <w:bCs/>
          <w:color w:val="1F3864"/>
          <w:sz w:val="28"/>
          <w:szCs w:val="28"/>
        </w:rPr>
        <w:t xml:space="preserve">8. Conclusiones y recomendaciones</w:t>
      </w:r>
    </w:p>
    <w:p>
      <w:pPr>
        <w:spacing w:after="160" w:line="276"/>
        <w:jc w:val="both"/>
      </w:pPr>
      <w:r>
        <w:rPr>
          <w:sz w:val="22"/>
          <w:szCs w:val="22"/>
        </w:rPr>
        <w:t xml:space="preserve">Para cerrar, va un resumen de lo que fui encontrando a lo largo del trabajo, o al menos como yo lo entendí después de resolverlo por varios caminos distintos:</w:t>
      </w:r>
    </w:p>
    <w:p>
      <w:pPr>
        <w:pStyle w:val="Heading2"/>
        <w:spacing w:after="140" w:before="280"/>
      </w:pPr>
      <w:r>
        <w:rPr>
          <w:b/>
          <w:bCs/>
          <w:color w:val="1F3864"/>
          <w:sz w:val="24"/>
          <w:szCs w:val="24"/>
        </w:rPr>
        <w:t xml:space="preserve">Conclusiones</w:t>
      </w:r>
    </w:p>
    <w:p>
      <w:pPr>
        <w:pStyle w:val="ListParagraph"/>
        <w:numPr>
          <w:ilvl w:val="0"/>
          <w:numId w:val="3"/>
        </w:numPr>
        <w:spacing w:after="80"/>
      </w:pPr>
      <w:r>
        <w:rPr>
          <w:sz w:val="22"/>
          <w:szCs w:val="22"/>
        </w:rPr>
        <w:t xml:space="preserve">El problema de transporte planteado está balanceado (oferta = demanda = 450 unidades) y se resolvió íntegramente con las herramientas propias de este tipo de modelos: el método de la esquina noroeste para obtener una solución factible inicial y el método MODI para comprobar su optimalidad.</w:t>
      </w:r>
    </w:p>
    <w:p>
      <w:pPr>
        <w:pStyle w:val="ListParagraph"/>
        <w:numPr>
          <w:ilvl w:val="0"/>
          <w:numId w:val="3"/>
        </w:numPr>
        <w:spacing w:after="80"/>
      </w:pPr>
      <w:r>
        <w:rPr>
          <w:sz w:val="22"/>
          <w:szCs w:val="22"/>
        </w:rPr>
        <w:t xml:space="preserve">El costo mínimo de transporte de la red actual es de 4 170 unidades monetarias por periodo, logrado utilizando el 100 % de la disponibilidad de los tres centros y satisfaciendo el 100 % de la demanda de los cinco puntos de venta.</w:t>
      </w:r>
    </w:p>
    <w:p>
      <w:pPr>
        <w:pStyle w:val="ListParagraph"/>
        <w:numPr>
          <w:ilvl w:val="0"/>
          <w:numId w:val="3"/>
        </w:numPr>
        <w:spacing w:after="80"/>
      </w:pPr>
      <w:r>
        <w:rPr>
          <w:sz w:val="22"/>
          <w:szCs w:val="22"/>
        </w:rPr>
        <w:t xml:space="preserve">La estructura de costos del caso es separable (c_ij = a_i + b_j), lo que implica que existen múltiples soluciones óptimas alternativas con el mismo costo total; esto otorga a la empresa flexibilidad operativa para elegir, entre ellas, la asignación más conveniente según criterios prácticos no capturados en el modelo (por ejemplo, relaciones con transportistas o tiempos reales de entrega).</w:t>
      </w:r>
    </w:p>
    <w:p>
      <w:pPr>
        <w:pStyle w:val="ListParagraph"/>
        <w:numPr>
          <w:ilvl w:val="0"/>
          <w:numId w:val="3"/>
        </w:numPr>
        <w:spacing w:after="80"/>
      </w:pPr>
      <w:r>
        <w:rPr>
          <w:sz w:val="22"/>
          <w:szCs w:val="22"/>
        </w:rPr>
        <w:t xml:space="preserve">El análisis de sensibilidad muestra que el costo total de la red es más sensible a la ubicación de la capacidad que a su magnitud total: trasladar disponibilidad de un centro caro (C) a uno barato (B) reduce el costo, mientras que atender incrementos de demanda en puntos de venta lejanos lo incrementa.</w:t>
      </w:r>
    </w:p>
    <w:p>
      <w:pPr>
        <w:pStyle w:val="ListParagraph"/>
        <w:numPr>
          <w:ilvl w:val="0"/>
          <w:numId w:val="3"/>
        </w:numPr>
        <w:spacing w:after="80"/>
      </w:pPr>
      <w:r>
        <w:rPr>
          <w:sz w:val="22"/>
          <w:szCs w:val="22"/>
        </w:rPr>
        <w:t xml:space="preserve">La evaluación costo-beneficio ilustrativa de un nuevo centro de distribución especializado en los puntos de venta más costosos (4 y 5) sugiere un ahorro potencial de 900 unidades monetarias por periodo (−21,6 % respecto del costo base), lo que amerita un estudio de factibilidad más detallado con datos reales de inversión y costos fijos.</w:t>
      </w:r>
    </w:p>
    <w:p>
      <w:pPr>
        <w:pStyle w:val="ListParagraph"/>
        <w:numPr>
          <w:ilvl w:val="0"/>
          <w:numId w:val="3"/>
        </w:numPr>
        <w:spacing w:after="80"/>
      </w:pPr>
      <w:r>
        <w:rPr>
          <w:sz w:val="22"/>
          <w:szCs w:val="22"/>
        </w:rPr>
        <w:t xml:space="preserve">La resolución manual (esquina noroeste y método MODI) se verificó de forma independiente con software especializado: se construyó y resolvió el modelo en una hoja de cálculo con Solver (LibreOffice Calc, motor lp_solve, funcionalmente equivalente al motor Simplex LP de Excel Solver), y se formuló también en la sintaxis de LINDO. Las tres vías —cálculo manual, hoja de cálculo con Solver y formulación en LINDO— convergen exactamente al mismo costo óptimo de 4 170 unidades monetarias, lo que da un alto grado de confianza en la corrección del modelo y de su resolución.</w:t>
      </w:r>
    </w:p>
    <w:p>
      <w:pPr>
        <w:pStyle w:val="ListParagraph"/>
        <w:numPr>
          <w:ilvl w:val="0"/>
          <w:numId w:val="3"/>
        </w:numPr>
        <w:spacing w:after="80"/>
      </w:pPr>
      <w:r>
        <w:rPr>
          <w:sz w:val="22"/>
          <w:szCs w:val="22"/>
        </w:rPr>
        <w:t xml:space="preserve">Los multiplicadores u_i, v_j del método MODI no son solo un mecanismo de verificación de optimalidad: son los precios sombra (shadow prices) de las restricciones de oferta y demanda, la misma información que reportaría el Informe de sensibilidad de Excel Solver o el Dual Price de LINDO, y permiten anticiparse analíticamente al efecto de pequeños cambios de oferta o demanda sin resolver el modelo completo de nuevo.</w:t>
      </w:r>
    </w:p>
    <w:p>
      <w:pPr>
        <w:pStyle w:val="Heading2"/>
        <w:spacing w:after="140" w:before="280"/>
      </w:pPr>
      <w:r>
        <w:rPr>
          <w:b/>
          <w:bCs/>
          <w:color w:val="1F3864"/>
          <w:sz w:val="24"/>
          <w:szCs w:val="24"/>
        </w:rPr>
        <w:t xml:space="preserve">Recomendaciones para la empresa</w:t>
      </w:r>
    </w:p>
    <w:p>
      <w:pPr>
        <w:pStyle w:val="ListParagraph"/>
        <w:numPr>
          <w:ilvl w:val="0"/>
          <w:numId w:val="2"/>
        </w:numPr>
        <w:spacing w:after="80"/>
      </w:pPr>
      <w:r>
        <w:rPr>
          <w:sz w:val="22"/>
          <w:szCs w:val="22"/>
        </w:rPr>
        <w:t xml:space="preserve">Adoptar el plan de distribución óptimo obtenido (tabla 6) como referencia operativa, documentando que existen asignaciones alternas de igual costo por si conviene ajustarlas ante restricciones prácticas no modeladas.</w:t>
      </w:r>
    </w:p>
    <w:p>
      <w:pPr>
        <w:pStyle w:val="ListParagraph"/>
        <w:numPr>
          <w:ilvl w:val="0"/>
          <w:numId w:val="2"/>
        </w:numPr>
        <w:spacing w:after="80"/>
      </w:pPr>
      <w:r>
        <w:rPr>
          <w:sz w:val="22"/>
          <w:szCs w:val="22"/>
        </w:rPr>
        <w:t xml:space="preserve">Priorizar cualquier ampliación futura de capacidad en el centro B por sobre el centro C, dado su menor costo base, siempre que exista demanda para absorberla.</w:t>
      </w:r>
    </w:p>
    <w:p>
      <w:pPr>
        <w:pStyle w:val="ListParagraph"/>
        <w:numPr>
          <w:ilvl w:val="0"/>
          <w:numId w:val="2"/>
        </w:numPr>
        <w:spacing w:after="80"/>
      </w:pPr>
      <w:r>
        <w:rPr>
          <w:sz w:val="22"/>
          <w:szCs w:val="22"/>
        </w:rPr>
        <w:t xml:space="preserve">Profundizar el estudio de factibilidad de un nuevo centro de distribución cercano a los puntos de venta 4 y 5, dado el ahorro potencial identificado, incorporando costos de inversión, arriendo, personal y tiempos de implementación reales.</w:t>
      </w:r>
    </w:p>
    <w:p>
      <w:pPr>
        <w:pStyle w:val="ListParagraph"/>
        <w:numPr>
          <w:ilvl w:val="0"/>
          <w:numId w:val="2"/>
        </w:numPr>
        <w:spacing w:after="80"/>
      </w:pPr>
      <w:r>
        <w:rPr>
          <w:sz w:val="22"/>
          <w:szCs w:val="22"/>
        </w:rPr>
        <w:t xml:space="preserve">Actualizar periódicamente la matriz de costos de transporte y las disponibilidades y demandas, y volver a ejecutar el modelo cada vez que cambien de manera significativa (por ejemplo, ante variaciones estacionales de demanda o cambios en tarifas de combustible/fletes), de modo que las decisiones de distribución se mantengan óptimas en el tiempo.</w:t>
      </w:r>
    </w:p>
    <w:p>
      <w:pPr>
        <w:pStyle w:val="ListParagraph"/>
        <w:numPr>
          <w:ilvl w:val="0"/>
          <w:numId w:val="2"/>
        </w:numPr>
        <w:spacing w:after="80"/>
      </w:pPr>
      <w:r>
        <w:rPr>
          <w:sz w:val="22"/>
          <w:szCs w:val="22"/>
        </w:rPr>
        <w:t xml:space="preserve">Mantener actualizada la hoja de cálculo con Solver (Modelo_Transporte_Solver.xlsx) como herramienta viva de la empresa: basta con actualizar las tablas de disponibilidad, demanda y costos, y volver a ejecutar Solver, para obtener el nuevo plan óptimo ante cualquier variante del problema (más centros, más puntos de venta o restricciones adicionales de capacidad de ruta o tiempos de entrega).</w:t>
      </w:r>
    </w:p>
    <w:p>
      <w:pPr>
        <w:pBdr>
          <w:top w:val="single" w:color="BFBFBF" w:sz="4" w:space="4"/>
        </w:pBdr>
        <w:spacing w:after="60" w:before="200"/>
      </w:pPr>
      <w:r>
        <w:rPr>
          <w:b/>
          <w:bCs/>
          <w:i/>
          <w:iCs/>
          <w:color w:val="555555"/>
          <w:sz w:val="18"/>
          <w:szCs w:val="18"/>
        </w:rPr>
        <w:t xml:space="preserve">Fuente(s) de esta sección (formato APA):</w:t>
      </w:r>
    </w:p>
    <w:p>
      <w:pPr>
        <w:spacing w:after="60"/>
        <w:ind w:left="460" w:hanging="260"/>
      </w:pPr>
      <w:r>
        <w:rPr>
          <w:color w:val="555555"/>
          <w:sz w:val="18"/>
          <w:szCs w:val="18"/>
        </w:rPr>
        <w:t xml:space="preserve">• </w:t>
      </w:r>
      <w:r>
        <w:rPr>
          <w:i w:val="false"/>
          <w:iCs w:val="false"/>
          <w:color w:val="555555"/>
          <w:sz w:val="18"/>
          <w:szCs w:val="18"/>
        </w:rPr>
        <w:t xml:space="preserve">Taha, H. A. (2017). </w:t>
      </w:r>
      <w:r>
        <w:rPr>
          <w:i/>
          <w:iCs/>
          <w:color w:val="555555"/>
          <w:sz w:val="18"/>
          <w:szCs w:val="18"/>
        </w:rPr>
        <w:t xml:space="preserve">Operations research: An introduction</w:t>
      </w:r>
      <w:r>
        <w:rPr>
          <w:i w:val="false"/>
          <w:iCs w:val="false"/>
          <w:color w:val="555555"/>
          <w:sz w:val="18"/>
          <w:szCs w:val="18"/>
        </w:rPr>
        <w:t xml:space="preserve"> (10.ª ed.). Pearson.</w:t>
      </w:r>
    </w:p>
    <w:p>
      <w:pPr>
        <w:spacing w:after="60"/>
        <w:ind w:left="460" w:hanging="260"/>
      </w:pPr>
      <w:r>
        <w:rPr>
          <w:color w:val="555555"/>
          <w:sz w:val="18"/>
          <w:szCs w:val="18"/>
        </w:rPr>
        <w:t xml:space="preserve">• </w:t>
      </w:r>
      <w:r>
        <w:rPr>
          <w:i w:val="false"/>
          <w:iCs w:val="false"/>
          <w:color w:val="555555"/>
          <w:sz w:val="18"/>
          <w:szCs w:val="18"/>
        </w:rPr>
        <w:t xml:space="preserve">Hillier, F. S., &amp; Lieberman, G. J. (2015). </w:t>
      </w:r>
      <w:r>
        <w:rPr>
          <w:i/>
          <w:iCs/>
          <w:color w:val="555555"/>
          <w:sz w:val="18"/>
          <w:szCs w:val="18"/>
        </w:rPr>
        <w:t xml:space="preserve">Introduction to operations research</w:t>
      </w:r>
      <w:r>
        <w:rPr>
          <w:i w:val="false"/>
          <w:iCs w:val="false"/>
          <w:color w:val="555555"/>
          <w:sz w:val="18"/>
          <w:szCs w:val="18"/>
        </w:rPr>
        <w:t xml:space="preserve"> (10.ª ed.). McGraw-Hill Education.</w:t>
      </w:r>
    </w:p>
    <w:p>
      <w:pPr>
        <w:spacing w:after="60"/>
        <w:ind w:left="460" w:hanging="260"/>
      </w:pPr>
      <w:r>
        <w:rPr>
          <w:color w:val="555555"/>
          <w:sz w:val="18"/>
          <w:szCs w:val="18"/>
        </w:rPr>
        <w:t xml:space="preserve">• </w:t>
      </w:r>
      <w:r>
        <w:rPr>
          <w:i w:val="false"/>
          <w:iCs w:val="false"/>
          <w:color w:val="555555"/>
          <w:sz w:val="18"/>
          <w:szCs w:val="18"/>
        </w:rPr>
        <w:t xml:space="preserve">Frontline Systems, Inc. (2023). </w:t>
      </w:r>
      <w:r>
        <w:rPr>
          <w:i/>
          <w:iCs/>
          <w:color w:val="555555"/>
          <w:sz w:val="18"/>
          <w:szCs w:val="18"/>
        </w:rPr>
        <w:t xml:space="preserve">Excel Solver</w:t>
      </w:r>
      <w:r>
        <w:rPr>
          <w:i w:val="false"/>
          <w:iCs w:val="false"/>
          <w:color w:val="555555"/>
          <w:sz w:val="18"/>
          <w:szCs w:val="18"/>
        </w:rPr>
        <w:t xml:space="preserve"> (complemento de Microsoft Excel) [software]. https://www.solver.com</w:t>
      </w:r>
    </w:p>
    <w:p>
      <w:pPr>
        <w:spacing w:after="60"/>
        <w:ind w:left="460" w:hanging="260"/>
      </w:pPr>
      <w:r>
        <w:rPr>
          <w:color w:val="555555"/>
          <w:sz w:val="18"/>
          <w:szCs w:val="18"/>
        </w:rPr>
        <w:t xml:space="preserve">• </w:t>
      </w:r>
      <w:r>
        <w:rPr>
          <w:i w:val="false"/>
          <w:iCs w:val="false"/>
          <w:color w:val="555555"/>
          <w:sz w:val="18"/>
          <w:szCs w:val="18"/>
        </w:rPr>
        <w:t xml:space="preserve">The Document Foundation. (2024). </w:t>
      </w:r>
      <w:r>
        <w:rPr>
          <w:i/>
          <w:iCs/>
          <w:color w:val="555555"/>
          <w:sz w:val="18"/>
          <w:szCs w:val="18"/>
        </w:rPr>
        <w:t xml:space="preserve">LibreOffice Calc</w:t>
      </w:r>
      <w:r>
        <w:rPr>
          <w:i w:val="false"/>
          <w:iCs w:val="false"/>
          <w:color w:val="555555"/>
          <w:sz w:val="18"/>
          <w:szCs w:val="18"/>
        </w:rPr>
        <w:t xml:space="preserve"> (versión 24.2) [software]. https://www.libreoffice.org</w:t>
      </w:r>
    </w:p>
    <w:p>
      <w:pPr>
        <w:spacing w:after="0"/>
        <w:ind w:left="460" w:hanging="260"/>
      </w:pPr>
      <w:r>
        <w:rPr>
          <w:color w:val="555555"/>
          <w:sz w:val="18"/>
          <w:szCs w:val="18"/>
        </w:rPr>
        <w:t xml:space="preserve">• </w:t>
      </w:r>
      <w:r>
        <w:rPr>
          <w:i w:val="false"/>
          <w:iCs w:val="false"/>
          <w:color w:val="555555"/>
          <w:sz w:val="18"/>
          <w:szCs w:val="18"/>
        </w:rPr>
        <w:t xml:space="preserve">LINDO Systems, Inc. (2023). </w:t>
      </w:r>
      <w:r>
        <w:rPr>
          <w:i/>
          <w:iCs/>
          <w:color w:val="555555"/>
          <w:sz w:val="18"/>
          <w:szCs w:val="18"/>
        </w:rPr>
        <w:t xml:space="preserve">LINDO</w:t>
      </w:r>
      <w:r>
        <w:rPr>
          <w:i w:val="false"/>
          <w:iCs w:val="false"/>
          <w:color w:val="555555"/>
          <w:sz w:val="18"/>
          <w:szCs w:val="18"/>
        </w:rPr>
        <w:t xml:space="preserve"> (versión 15.0) [software]. https://www.lindo.com</w:t>
      </w:r>
    </w:p>
    <w:p>
      <w:pPr>
        <w:pStyle w:val="Heading1"/>
        <w:pBdr>
          <w:bottom w:val="single" w:color="1F3864" w:sz="8" w:space="4"/>
        </w:pBdr>
        <w:spacing w:after="200" w:before="360"/>
      </w:pPr>
      <w:r>
        <w:rPr>
          <w:b/>
          <w:bCs/>
          <w:color w:val="1F3864"/>
          <w:sz w:val="28"/>
          <w:szCs w:val="28"/>
        </w:rPr>
        <w:t xml:space="preserve">9. Referencias</w:t>
      </w:r>
    </w:p>
    <w:p>
      <w:pPr>
        <w:spacing w:after="160" w:line="276"/>
        <w:jc w:val="both"/>
      </w:pPr>
      <w:r>
        <w:rPr>
          <w:sz w:val="22"/>
          <w:szCs w:val="22"/>
        </w:rPr>
        <w:t xml:space="preserve">Van todas juntas aquí abajo, en formato APA (7.ª edición) y en orden alfabético, para que quede clara la trazabilidad de cada dato del informe: de dónde salió la teoría (temas 1 al 7 de la asignatura y lecturas de la Biblioteca Virtual) y de dónde salió cada herramienta de software usada para resolver y verificar el modelo en las secciones 4.5 y 4.6. Debajo de cada bloque de texto del informe ya quedó anotada, en corto, la fuente puntual de esa parte; este listado es la versión completa y consolidada de todas ellas.</w:t>
      </w:r>
    </w:p>
    <w:p>
      <w:pPr>
        <w:spacing w:after="200" w:line="276"/>
        <w:ind w:left="720" w:hanging="720"/>
        <w:jc w:val="both"/>
      </w:pPr>
      <w:r>
        <w:rPr>
          <w:i w:val="false"/>
          <w:iCs w:val="false"/>
          <w:sz w:val="22"/>
          <w:szCs w:val="22"/>
        </w:rPr>
        <w:t xml:space="preserve">Berkelaar, M., Eikland, K., &amp; Notebaert, P. (2004). </w:t>
      </w:r>
      <w:r>
        <w:rPr>
          <w:i/>
          <w:iCs/>
          <w:sz w:val="22"/>
          <w:szCs w:val="22"/>
        </w:rPr>
        <w:t xml:space="preserve">lp_solve</w:t>
      </w:r>
      <w:r>
        <w:rPr>
          <w:i w:val="false"/>
          <w:iCs w:val="false"/>
          <w:sz w:val="22"/>
          <w:szCs w:val="22"/>
        </w:rPr>
        <w:t xml:space="preserve"> (versión 5.5) [software]. SourceForge. https://sourceforge.net/projects/lpsolve/</w:t>
      </w:r>
    </w:p>
    <w:p>
      <w:pPr>
        <w:spacing w:after="200" w:line="276"/>
        <w:ind w:left="720" w:hanging="720"/>
        <w:jc w:val="both"/>
      </w:pPr>
      <w:r>
        <w:rPr>
          <w:i w:val="false"/>
          <w:iCs w:val="false"/>
          <w:sz w:val="22"/>
          <w:szCs w:val="22"/>
        </w:rPr>
        <w:t xml:space="preserve">The Document Foundation. (2024). </w:t>
      </w:r>
      <w:r>
        <w:rPr>
          <w:i/>
          <w:iCs/>
          <w:sz w:val="22"/>
          <w:szCs w:val="22"/>
        </w:rPr>
        <w:t xml:space="preserve">LibreOffice Calc</w:t>
      </w:r>
      <w:r>
        <w:rPr>
          <w:i w:val="false"/>
          <w:iCs w:val="false"/>
          <w:sz w:val="22"/>
          <w:szCs w:val="22"/>
        </w:rPr>
        <w:t xml:space="preserve"> (versión 24.2) [software]. https://www.libreoffice.org</w:t>
      </w:r>
    </w:p>
    <w:p>
      <w:pPr>
        <w:spacing w:after="200" w:line="276"/>
        <w:ind w:left="720" w:hanging="720"/>
        <w:jc w:val="both"/>
      </w:pPr>
      <w:r>
        <w:rPr>
          <w:i w:val="false"/>
          <w:iCs w:val="false"/>
          <w:sz w:val="22"/>
          <w:szCs w:val="22"/>
        </w:rPr>
        <w:t xml:space="preserve">Frontline Systems, Inc. (2023). </w:t>
      </w:r>
      <w:r>
        <w:rPr>
          <w:i/>
          <w:iCs/>
          <w:sz w:val="22"/>
          <w:szCs w:val="22"/>
        </w:rPr>
        <w:t xml:space="preserve">Excel Solver</w:t>
      </w:r>
      <w:r>
        <w:rPr>
          <w:i w:val="false"/>
          <w:iCs w:val="false"/>
          <w:sz w:val="22"/>
          <w:szCs w:val="22"/>
        </w:rPr>
        <w:t xml:space="preserve"> (complemento de Microsoft Excel) [software]. https://www.solver.com</w:t>
      </w:r>
    </w:p>
    <w:p>
      <w:pPr>
        <w:spacing w:after="200" w:line="276"/>
        <w:ind w:left="720" w:hanging="720"/>
        <w:jc w:val="both"/>
      </w:pPr>
      <w:r>
        <w:rPr>
          <w:i w:val="false"/>
          <w:iCs w:val="false"/>
          <w:sz w:val="22"/>
          <w:szCs w:val="22"/>
        </w:rPr>
        <w:t xml:space="preserve">Hillier, F. S., &amp; Lieberman, G. J. (2015). </w:t>
      </w:r>
      <w:r>
        <w:rPr>
          <w:i/>
          <w:iCs/>
          <w:sz w:val="22"/>
          <w:szCs w:val="22"/>
        </w:rPr>
        <w:t xml:space="preserve">Introduction to operations research</w:t>
      </w:r>
      <w:r>
        <w:rPr>
          <w:i w:val="false"/>
          <w:iCs w:val="false"/>
          <w:sz w:val="22"/>
          <w:szCs w:val="22"/>
        </w:rPr>
        <w:t xml:space="preserve"> (10.ª ed.). McGraw-Hill Education.</w:t>
      </w:r>
    </w:p>
    <w:p>
      <w:pPr>
        <w:spacing w:after="200" w:line="276"/>
        <w:ind w:left="720" w:hanging="720"/>
        <w:jc w:val="both"/>
      </w:pPr>
      <w:r>
        <w:rPr>
          <w:i w:val="false"/>
          <w:iCs w:val="false"/>
          <w:sz w:val="22"/>
          <w:szCs w:val="22"/>
        </w:rPr>
        <w:t xml:space="preserve">Kohateca. (s.f.). </w:t>
      </w:r>
      <w:r>
        <w:rPr>
          <w:i/>
          <w:iCs/>
          <w:sz w:val="22"/>
          <w:szCs w:val="22"/>
        </w:rPr>
        <w:t xml:space="preserve">Biblioteca virtual</w:t>
      </w:r>
      <w:r>
        <w:rPr>
          <w:i w:val="false"/>
          <w:iCs w:val="false"/>
          <w:sz w:val="22"/>
          <w:szCs w:val="22"/>
        </w:rPr>
        <w:t xml:space="preserve">. Recuperado el 31 de julio de 2026, de https://kohateca.ula.edu.mx/</w:t>
      </w:r>
    </w:p>
    <w:p>
      <w:pPr>
        <w:spacing w:after="200" w:line="276"/>
        <w:ind w:left="720" w:hanging="720"/>
        <w:jc w:val="both"/>
      </w:pPr>
      <w:r>
        <w:rPr>
          <w:i w:val="false"/>
          <w:iCs w:val="false"/>
          <w:sz w:val="22"/>
          <w:szCs w:val="22"/>
        </w:rPr>
        <w:t xml:space="preserve">LINDO Systems, Inc. (2023). </w:t>
      </w:r>
      <w:r>
        <w:rPr>
          <w:i/>
          <w:iCs/>
          <w:sz w:val="22"/>
          <w:szCs w:val="22"/>
        </w:rPr>
        <w:t xml:space="preserve">LINDO</w:t>
      </w:r>
      <w:r>
        <w:rPr>
          <w:i w:val="false"/>
          <w:iCs w:val="false"/>
          <w:sz w:val="22"/>
          <w:szCs w:val="22"/>
        </w:rPr>
        <w:t xml:space="preserve"> (versión 15.0) [software]. https://www.lindo.com</w:t>
      </w:r>
    </w:p>
    <w:p>
      <w:pPr>
        <w:spacing w:after="200" w:line="276"/>
        <w:ind w:left="720" w:hanging="720"/>
        <w:jc w:val="both"/>
      </w:pPr>
      <w:r>
        <w:rPr>
          <w:i w:val="false"/>
          <w:iCs w:val="false"/>
          <w:sz w:val="22"/>
          <w:szCs w:val="22"/>
        </w:rPr>
        <w:t xml:space="preserve">Render, B., Stair, R. M., Hanna, M. E., &amp; Hale, T. S. (2018). </w:t>
      </w:r>
      <w:r>
        <w:rPr>
          <w:i/>
          <w:iCs/>
          <w:sz w:val="22"/>
          <w:szCs w:val="22"/>
        </w:rPr>
        <w:t xml:space="preserve">Quantitative analysis for management</w:t>
      </w:r>
      <w:r>
        <w:rPr>
          <w:i w:val="false"/>
          <w:iCs w:val="false"/>
          <w:sz w:val="22"/>
          <w:szCs w:val="22"/>
        </w:rPr>
        <w:t xml:space="preserve"> (13.ª ed.). Pearson.</w:t>
      </w:r>
    </w:p>
    <w:p>
      <w:pPr>
        <w:spacing w:after="200" w:line="276"/>
        <w:ind w:left="720" w:hanging="720"/>
        <w:jc w:val="both"/>
      </w:pPr>
      <w:r>
        <w:rPr>
          <w:i w:val="false"/>
          <w:iCs w:val="false"/>
          <w:sz w:val="22"/>
          <w:szCs w:val="22"/>
        </w:rPr>
        <w:t xml:space="preserve">Taha, H. A. (2017). </w:t>
      </w:r>
      <w:r>
        <w:rPr>
          <w:i/>
          <w:iCs/>
          <w:sz w:val="22"/>
          <w:szCs w:val="22"/>
        </w:rPr>
        <w:t xml:space="preserve">Operations research: An introduction</w:t>
      </w:r>
      <w:r>
        <w:rPr>
          <w:i w:val="false"/>
          <w:iCs w:val="false"/>
          <w:sz w:val="22"/>
          <w:szCs w:val="22"/>
        </w:rPr>
        <w:t xml:space="preserve"> (10.ª ed.). Pearson.</w:t>
      </w:r>
    </w:p>
    <w:p>
      <w:pPr>
        <w:spacing w:after="200" w:line="276"/>
        <w:ind w:left="720" w:hanging="720"/>
        <w:jc w:val="both"/>
      </w:pPr>
      <w:r>
        <w:rPr>
          <w:i w:val="false"/>
          <w:iCs w:val="false"/>
          <w:sz w:val="22"/>
          <w:szCs w:val="22"/>
        </w:rPr>
        <w:t xml:space="preserve">Virtanen, P., Gommers, R., Oliphant, T. E., Haberland, M., Reddy, T., Cournapeau, D., Burovski, E., Peterson, P., Weckesser, W., Bright, J., van der Walt, S. J., Brett, M., Wilson, J., Millman, K. J., Mayorov, N., Nelson, A. R. J., Jones, E., Kern, R., Larson, E., … SciPy 1.0 Contributors. (2020). SciPy 1.0: Fundamental algorithms for scientific computing in Python. </w:t>
      </w:r>
      <w:r>
        <w:rPr>
          <w:i/>
          <w:iCs/>
          <w:sz w:val="22"/>
          <w:szCs w:val="22"/>
        </w:rPr>
        <w:t xml:space="preserve">Nature Methods, 17</w:t>
      </w:r>
      <w:r>
        <w:rPr>
          <w:i w:val="false"/>
          <w:iCs w:val="false"/>
          <w:sz w:val="22"/>
          <w:szCs w:val="22"/>
        </w:rPr>
        <w:t xml:space="preserve">, 261–272. https://doi.org/10.1038/s41592-019-0686-2</w:t>
      </w:r>
    </w:p>
    <w:p>
      <w:pPr>
        <w:spacing w:after="200" w:line="276"/>
        <w:ind w:left="720" w:hanging="720"/>
        <w:jc w:val="both"/>
      </w:pPr>
      <w:r>
        <w:rPr>
          <w:i w:val="false"/>
          <w:iCs w:val="false"/>
          <w:sz w:val="22"/>
          <w:szCs w:val="22"/>
        </w:rPr>
        <w:t xml:space="preserve">Winston, W. L. (2004). </w:t>
      </w:r>
      <w:r>
        <w:rPr>
          <w:i/>
          <w:iCs/>
          <w:sz w:val="22"/>
          <w:szCs w:val="22"/>
        </w:rPr>
        <w:t xml:space="preserve">Operations research: Applications and algorithms</w:t>
      </w:r>
      <w:r>
        <w:rPr>
          <w:i w:val="false"/>
          <w:iCs w:val="false"/>
          <w:sz w:val="22"/>
          <w:szCs w:val="22"/>
        </w:rPr>
        <w:t xml:space="preserve"> (4.ª ed.). Cengage Learning.</w:t>
      </w:r>
    </w:p>
    <w:p>
      <w:pPr>
        <w:spacing w:after="160" w:line="276"/>
        <w:jc w:val="both"/>
      </w:pPr>
      <w:r>
        <w:rPr>
          <w:sz w:val="22"/>
          <w:szCs w:val="22"/>
        </w:rPr>
        <w:t xml:space="preserve">Nota: los títulos, ediciones y años de las obras de Taha (2017), Hillier y Lieberman (2015), Render et al. (2018) y Winston (2004) corresponden a ediciones ampliamente utilizadas en cursos de Investigación de Operaciones y se citan aquí como referencia estándar de la disciplina; se recomienda verificarlos contra la edición exacta puesta a disposición en la plataforma del curso y en la Biblioteca Virtual antes de citarlos en una entrega formal, ya que este documento no tuvo acceso directo al catálogo interno de Kohateca para confirmar la edición específica recomendada por la asignatura.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Página </w:t>
    </w:r>
    <w:r>
      <w:rPr>
        <w:color w:val="808080"/>
        <w:sz w:val="16"/>
        <w:szCs w:val="16"/>
      </w:rPr>
      <w:fldChar w:fldCharType="begin"/>
      <w:instrText xml:space="preserve">PAGE</w:instrText>
      <w:fldChar w:fldCharType="separate"/>
      <w:fldChar w:fldCharType="end"/>
    </w:r>
    <w:r>
      <w:rPr>
        <w:color w:val="808080"/>
        <w:sz w:val="16"/>
        <w:szCs w:val="16"/>
      </w:rPr>
      <w:t xml:space="preserve"> de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Optimización del Transporte de Productos — Bryan Mercado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c4aea385a9fb63fad38b57d478709fe70de9da3.png"/><Relationship Id="rId10" Type="http://schemas.openxmlformats.org/officeDocument/2006/relationships/image" Target="media/332dbfa4cd6c08ed4d7d903d87f336c5395cfb88.png"/><Relationship Id="rId11" Type="http://schemas.openxmlformats.org/officeDocument/2006/relationships/image" Target="media/731da24a83044343d0c5c338ff10a33c7bdb0e50.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2026-07-31T06:22:54.861Z</dcterms:created>
  <dcterms:modified xsi:type="dcterms:W3CDTF">2026-07-31T06:22:54.863Z</dcterms:modified>
</cp:coreProperties>
</file>

<file path=docProps/custom.xml><?xml version="1.0" encoding="utf-8"?>
<Properties xmlns="http://schemas.openxmlformats.org/officeDocument/2006/custom-properties" xmlns:vt="http://schemas.openxmlformats.org/officeDocument/2006/docPropsVTypes"/>
</file>