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94632D" w14:textId="755BA7C4" w:rsidR="007305FE" w:rsidRPr="00647F92" w:rsidRDefault="00647F92" w:rsidP="00647F92">
      <w:pPr>
        <w:jc w:val="center"/>
        <w:rPr>
          <w:rFonts w:ascii="Arial" w:eastAsia="Times New Roman" w:hAnsi="Arial" w:cs="Arial"/>
          <w:b/>
          <w:sz w:val="32"/>
          <w:szCs w:val="32"/>
          <w:lang w:val="es-ES_tradnl" w:eastAsia="es-ES_tradnl"/>
        </w:rPr>
      </w:pPr>
      <w:r w:rsidRPr="00647F92">
        <w:rPr>
          <w:rFonts w:ascii="Arial" w:eastAsia="Times New Roman" w:hAnsi="Arial" w:cs="Arial"/>
          <w:b/>
          <w:sz w:val="32"/>
          <w:szCs w:val="32"/>
          <w:lang w:val="es-ES_tradnl" w:eastAsia="es-ES_tradnl"/>
        </w:rPr>
        <w:t>Exploratory Roundtable</w:t>
      </w:r>
      <w:r w:rsidR="007305FE" w:rsidRPr="00647F92">
        <w:rPr>
          <w:rFonts w:ascii="Arial" w:hAnsi="Arial" w:cs="Arial"/>
          <w:b/>
          <w:bCs/>
          <w:sz w:val="32"/>
          <w:szCs w:val="32"/>
          <w:lang w:val="en-US" w:eastAsia="es-ES_tradnl"/>
        </w:rPr>
        <w:t>: Development and Competitiveness of the Pork Sector in Mexico</w:t>
      </w:r>
      <w:r w:rsidR="007305FE" w:rsidRPr="00647F92">
        <w:rPr>
          <w:rFonts w:ascii="Arial" w:hAnsi="Arial" w:cs="Arial"/>
          <w:b/>
          <w:sz w:val="32"/>
          <w:szCs w:val="32"/>
          <w:lang w:val="en-US" w:eastAsia="es-ES_tradnl"/>
        </w:rPr>
        <w:t>.</w:t>
      </w:r>
    </w:p>
    <w:p w14:paraId="00AD7770" w14:textId="77777777" w:rsidR="007305FE" w:rsidRPr="007305FE" w:rsidRDefault="007305FE" w:rsidP="007305FE">
      <w:pPr>
        <w:jc w:val="center"/>
        <w:rPr>
          <w:rFonts w:ascii="Arial" w:hAnsi="Arial" w:cs="Arial"/>
          <w:sz w:val="32"/>
          <w:szCs w:val="32"/>
          <w:lang w:val="en-US" w:eastAsia="es-ES_tradnl"/>
        </w:rPr>
      </w:pPr>
    </w:p>
    <w:p w14:paraId="19CBBF1C" w14:textId="77777777" w:rsidR="007305FE" w:rsidRPr="007305FE" w:rsidRDefault="007305FE" w:rsidP="007305FE">
      <w:pPr>
        <w:jc w:val="center"/>
        <w:rPr>
          <w:rFonts w:ascii="Arial" w:hAnsi="Arial" w:cs="Arial"/>
          <w:sz w:val="32"/>
          <w:szCs w:val="32"/>
          <w:lang w:val="en-US" w:eastAsia="es-ES_tradnl"/>
        </w:rPr>
      </w:pPr>
      <w:r w:rsidRPr="007305FE">
        <w:rPr>
          <w:rFonts w:ascii="Arial" w:hAnsi="Arial" w:cs="Arial"/>
          <w:bCs/>
          <w:sz w:val="32"/>
          <w:szCs w:val="32"/>
          <w:lang w:val="en-US" w:eastAsia="es-ES_tradnl"/>
        </w:rPr>
        <w:t>TELAR Project - MESA México.</w:t>
      </w:r>
    </w:p>
    <w:p w14:paraId="386F4A39" w14:textId="77777777" w:rsidR="007305FE" w:rsidRPr="007305FE" w:rsidRDefault="007305FE" w:rsidP="007305FE">
      <w:pPr>
        <w:rPr>
          <w:rFonts w:ascii="Arial" w:hAnsi="Arial" w:cs="Arial"/>
          <w:b/>
          <w:bCs/>
          <w:lang w:val="en-US" w:eastAsia="es-ES_tradnl"/>
        </w:rPr>
      </w:pPr>
    </w:p>
    <w:p w14:paraId="207F42C4" w14:textId="77777777" w:rsidR="007305FE" w:rsidRPr="007305FE" w:rsidRDefault="007305FE" w:rsidP="007305FE">
      <w:pPr>
        <w:rPr>
          <w:rFonts w:ascii="Arial" w:hAnsi="Arial" w:cs="Arial"/>
          <w:lang w:val="en-US" w:eastAsia="es-ES_tradnl"/>
        </w:rPr>
      </w:pPr>
      <w:r w:rsidRPr="007305FE">
        <w:rPr>
          <w:rFonts w:ascii="Arial" w:hAnsi="Arial" w:cs="Arial"/>
          <w:b/>
          <w:bCs/>
          <w:lang w:val="en-US" w:eastAsia="es-ES_tradnl"/>
        </w:rPr>
        <w:t>Coordination:</w:t>
      </w:r>
      <w:r w:rsidRPr="007305FE">
        <w:rPr>
          <w:rFonts w:ascii="Arial" w:hAnsi="Arial" w:cs="Arial"/>
          <w:lang w:val="en-US" w:eastAsia="es-ES_tradnl"/>
        </w:rPr>
        <w:t xml:space="preserve"> </w:t>
      </w:r>
    </w:p>
    <w:p w14:paraId="4D311119" w14:textId="37759B1B" w:rsidR="007305FE" w:rsidRPr="007305FE" w:rsidRDefault="00647F92" w:rsidP="007305FE">
      <w:pPr>
        <w:rPr>
          <w:rFonts w:ascii="Arial" w:hAnsi="Arial" w:cs="Arial"/>
          <w:lang w:val="en-US" w:eastAsia="es-ES_tradnl"/>
        </w:rPr>
      </w:pPr>
      <w:r>
        <w:rPr>
          <w:rFonts w:ascii="Arial" w:hAnsi="Arial" w:cs="Arial"/>
          <w:lang w:val="en-US" w:eastAsia="es-ES_tradnl"/>
        </w:rPr>
        <w:t>Dr. Elena Lazos-</w:t>
      </w:r>
      <w:r w:rsidR="007305FE" w:rsidRPr="007305FE">
        <w:rPr>
          <w:rFonts w:ascii="Arial" w:hAnsi="Arial" w:cs="Arial"/>
          <w:lang w:val="en-US" w:eastAsia="es-ES_tradnl"/>
        </w:rPr>
        <w:t xml:space="preserve">Chavero (IIS-UNAM) </w:t>
      </w:r>
    </w:p>
    <w:p w14:paraId="6E69D940" w14:textId="77777777" w:rsidR="007305FE" w:rsidRPr="007305FE" w:rsidRDefault="007305FE" w:rsidP="007305FE">
      <w:pPr>
        <w:rPr>
          <w:rFonts w:ascii="Arial" w:hAnsi="Arial" w:cs="Arial"/>
          <w:lang w:val="en-US" w:eastAsia="es-ES_tradnl"/>
        </w:rPr>
      </w:pPr>
      <w:r w:rsidRPr="007305FE">
        <w:rPr>
          <w:rFonts w:ascii="Arial" w:hAnsi="Arial" w:cs="Arial"/>
          <w:lang w:val="en-US" w:eastAsia="es-ES_tradnl"/>
        </w:rPr>
        <w:t>Rebeca Pérez Flores</w:t>
      </w:r>
    </w:p>
    <w:p w14:paraId="6DC05F0A" w14:textId="77777777" w:rsidR="007305FE" w:rsidRPr="007305FE" w:rsidRDefault="007305FE" w:rsidP="007305FE">
      <w:pPr>
        <w:rPr>
          <w:rFonts w:ascii="Arial" w:hAnsi="Arial" w:cs="Arial"/>
          <w:lang w:val="en-US" w:eastAsia="es-ES_tradnl"/>
        </w:rPr>
      </w:pPr>
    </w:p>
    <w:p w14:paraId="080AE6F7" w14:textId="77777777" w:rsidR="007305FE" w:rsidRPr="007305FE" w:rsidRDefault="007305FE" w:rsidP="007305FE">
      <w:pPr>
        <w:rPr>
          <w:rFonts w:ascii="Arial" w:hAnsi="Arial" w:cs="Arial"/>
          <w:lang w:val="en-US" w:eastAsia="es-ES_tradnl"/>
        </w:rPr>
      </w:pPr>
      <w:r w:rsidRPr="007305FE">
        <w:rPr>
          <w:rFonts w:ascii="Arial" w:hAnsi="Arial" w:cs="Arial"/>
          <w:b/>
          <w:bCs/>
          <w:lang w:val="en-US" w:eastAsia="es-ES_tradnl"/>
        </w:rPr>
        <w:t>Location:</w:t>
      </w:r>
      <w:r w:rsidRPr="007305FE">
        <w:rPr>
          <w:rFonts w:ascii="Arial" w:hAnsi="Arial" w:cs="Arial"/>
          <w:lang w:val="en-US" w:eastAsia="es-ES_tradnl"/>
        </w:rPr>
        <w:t xml:space="preserve"> CEPHCIS-UNAM, Yucatán </w:t>
      </w:r>
    </w:p>
    <w:p w14:paraId="6328DAD2" w14:textId="77777777" w:rsidR="00647F92" w:rsidRPr="00647F92" w:rsidRDefault="00647F92" w:rsidP="00647F92">
      <w:pPr>
        <w:rPr>
          <w:rFonts w:ascii="Arial" w:eastAsia="Times New Roman" w:hAnsi="Arial" w:cs="Arial"/>
          <w:lang w:val="es-ES_tradnl" w:eastAsia="es-ES_tradnl"/>
        </w:rPr>
      </w:pPr>
      <w:r w:rsidRPr="00647F92">
        <w:rPr>
          <w:rFonts w:ascii="Arial" w:eastAsia="Times New Roman" w:hAnsi="Arial" w:cs="Arial"/>
          <w:b/>
          <w:bCs/>
          <w:lang w:val="es-ES_tradnl" w:eastAsia="es-ES_tradnl"/>
        </w:rPr>
        <w:t>Date:</w:t>
      </w:r>
      <w:r w:rsidRPr="00647F92">
        <w:rPr>
          <w:rFonts w:ascii="Arial" w:eastAsia="Times New Roman" w:hAnsi="Arial" w:cs="Arial"/>
          <w:lang w:val="es-ES_tradnl" w:eastAsia="es-ES_tradnl"/>
        </w:rPr>
        <w:t xml:space="preserve"> January, 2026</w:t>
      </w:r>
    </w:p>
    <w:p w14:paraId="54ECC571" w14:textId="77777777" w:rsidR="007305FE" w:rsidRPr="007305FE" w:rsidRDefault="007305FE" w:rsidP="007305FE">
      <w:pPr>
        <w:rPr>
          <w:rFonts w:ascii="Arial" w:hAnsi="Arial" w:cs="Arial"/>
          <w:lang w:val="en-US" w:eastAsia="es-ES_tradnl"/>
        </w:rPr>
      </w:pPr>
      <w:r w:rsidRPr="007305FE">
        <w:rPr>
          <w:rFonts w:ascii="Arial" w:hAnsi="Arial" w:cs="Arial"/>
          <w:b/>
          <w:bCs/>
          <w:lang w:val="en-US" w:eastAsia="es-ES_tradnl"/>
        </w:rPr>
        <w:t>Duration:</w:t>
      </w:r>
      <w:r w:rsidRPr="007305FE">
        <w:rPr>
          <w:rFonts w:ascii="Arial" w:hAnsi="Arial" w:cs="Arial"/>
          <w:lang w:val="en-US" w:eastAsia="es-ES_tradnl"/>
        </w:rPr>
        <w:t xml:space="preserve"> 3 hours </w:t>
      </w:r>
    </w:p>
    <w:p w14:paraId="1A5F583E" w14:textId="77777777" w:rsidR="007305FE" w:rsidRPr="007305FE" w:rsidRDefault="007305FE" w:rsidP="007305FE">
      <w:pPr>
        <w:rPr>
          <w:rFonts w:ascii="Arial" w:hAnsi="Arial" w:cs="Arial"/>
          <w:lang w:val="en-US" w:eastAsia="es-ES_tradnl"/>
        </w:rPr>
      </w:pPr>
      <w:r w:rsidRPr="007305FE">
        <w:rPr>
          <w:rFonts w:ascii="Arial" w:hAnsi="Arial" w:cs="Arial"/>
          <w:b/>
          <w:bCs/>
          <w:lang w:val="en-US" w:eastAsia="es-ES_tradnl"/>
        </w:rPr>
        <w:t>Participants:</w:t>
      </w:r>
      <w:r w:rsidRPr="007305FE">
        <w:rPr>
          <w:rFonts w:ascii="Arial" w:hAnsi="Arial" w:cs="Arial"/>
          <w:lang w:val="en-US" w:eastAsia="es-ES_tradnl"/>
        </w:rPr>
        <w:t xml:space="preserve"> Producers, Government, Trade Organizations, Sector Technicians and Specialists</w:t>
      </w:r>
    </w:p>
    <w:p w14:paraId="56C91458" w14:textId="77777777" w:rsidR="007305FE" w:rsidRPr="007305FE" w:rsidRDefault="007305FE" w:rsidP="007305FE">
      <w:pPr>
        <w:rPr>
          <w:rFonts w:ascii="Arial" w:hAnsi="Arial" w:cs="Arial"/>
          <w:lang w:val="en-US" w:eastAsia="es-ES_tradnl"/>
        </w:rPr>
      </w:pPr>
      <w:bookmarkStart w:id="0" w:name="_GoBack"/>
      <w:bookmarkEnd w:id="0"/>
    </w:p>
    <w:p w14:paraId="7C935D50"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Why this dialogue?</w:t>
      </w:r>
    </w:p>
    <w:p w14:paraId="3C6FB076"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The Mexican pork sector is at a strategic moment in its development. As the 8th world producer of pork (1,812 MT) and 7th consumer (2,775 MT), the sector represents 2.3% of the national GDP (800 billion pesos) and has experienced notable economic growth of 54.4% between 2019-2024.</w:t>
      </w:r>
    </w:p>
    <w:p w14:paraId="23D17603"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However, this accelerated growth raises important questions about the sector's future in various dimensions:</w:t>
      </w:r>
    </w:p>
    <w:p w14:paraId="35A90E15"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Production and market:</w:t>
      </w:r>
      <w:r w:rsidRPr="00647F92">
        <w:rPr>
          <w:rFonts w:ascii="Arial" w:hAnsi="Arial" w:cs="Arial"/>
          <w:lang w:val="en-US" w:eastAsia="es-ES_tradnl"/>
        </w:rPr>
        <w:t xml:space="preserve"> Mexico is also the 2nd world importer, with a production deficit that represents 52% of national consumption in 2025. Imports (82.4% from the United States) raise questions about sectoral development strategies, food sovereignty and competitiveness in the face of geopolitical vulnerabilities.</w:t>
      </w:r>
    </w:p>
    <w:p w14:paraId="318E0FED"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Territorial concentration and diversification:</w:t>
      </w:r>
      <w:r w:rsidRPr="00647F92">
        <w:rPr>
          <w:rFonts w:ascii="Arial" w:hAnsi="Arial" w:cs="Arial"/>
          <w:lang w:val="en-US" w:eastAsia="es-ES_tradnl"/>
        </w:rPr>
        <w:t xml:space="preserve"> Pork production presents significant concentration where six states represent 86% of national production. In regions such as the Yucatán Peninsula, the sector operates in areas with particular characteristics that require specific management considerations.</w:t>
      </w:r>
    </w:p>
    <w:p w14:paraId="3205B7D6"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Diversity of production scales:</w:t>
      </w:r>
      <w:r w:rsidRPr="00647F92">
        <w:rPr>
          <w:rFonts w:ascii="Arial" w:hAnsi="Arial" w:cs="Arial"/>
          <w:lang w:val="en-US" w:eastAsia="es-ES_tradnl"/>
        </w:rPr>
        <w:t xml:space="preserve"> The sector exhibits important diversity: while 70% of production is concentrated in technified industrial systems of 4-5 main companies, thousands of small producers organized in cooperatives of the Pork Product System and rural communities practice pig farming at different scales. This diversity presents both opportunities and challenges for sectoral strengthening.</w:t>
      </w:r>
    </w:p>
    <w:p w14:paraId="206A6430"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Regulatory framework and operation:</w:t>
      </w:r>
      <w:r w:rsidRPr="00647F92">
        <w:rPr>
          <w:rFonts w:ascii="Arial" w:hAnsi="Arial" w:cs="Arial"/>
          <w:lang w:val="en-US" w:eastAsia="es-ES_tradnl"/>
        </w:rPr>
        <w:t xml:space="preserve"> There are different perspectives on the implementation of regulations, operation protocols and supervision of </w:t>
      </w:r>
      <w:r w:rsidRPr="00647F92">
        <w:rPr>
          <w:rFonts w:ascii="Arial" w:hAnsi="Arial" w:cs="Arial"/>
          <w:lang w:val="en-US" w:eastAsia="es-ES_tradnl"/>
        </w:rPr>
        <w:lastRenderedPageBreak/>
        <w:t>establishments. Changes in the sector's structure (growth of private establishments vs. TIF) raise questions about supervision schemes and operational efficiency.</w:t>
      </w:r>
    </w:p>
    <w:p w14:paraId="2C9237F1"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Economic development and value generation:</w:t>
      </w:r>
      <w:r w:rsidRPr="00647F92">
        <w:rPr>
          <w:rFonts w:ascii="Arial" w:hAnsi="Arial" w:cs="Arial"/>
          <w:lang w:val="en-US" w:eastAsia="es-ES_tradnl"/>
        </w:rPr>
        <w:t xml:space="preserve"> While sectoral GDP grew 54.4% between 2019-2024, direct employment increased by only 0.1%, evidencing a pattern that deserves analysis: How can sectoral growth translate into greater employment generation and distribution of economic benefits?</w:t>
      </w:r>
    </w:p>
    <w:p w14:paraId="0078DC5D"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What is this Dialogue Roundtable?</w:t>
      </w:r>
    </w:p>
    <w:p w14:paraId="37AA9E06"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 xml:space="preserve">This Roundtable is an </w:t>
      </w:r>
      <w:r w:rsidRPr="00647F92">
        <w:rPr>
          <w:rFonts w:ascii="Arial" w:hAnsi="Arial" w:cs="Arial"/>
          <w:b/>
          <w:bCs/>
          <w:lang w:val="en-US" w:eastAsia="es-ES_tradnl"/>
        </w:rPr>
        <w:t>exchange space</w:t>
      </w:r>
      <w:r w:rsidRPr="00647F92">
        <w:rPr>
          <w:rFonts w:ascii="Arial" w:hAnsi="Arial" w:cs="Arial"/>
          <w:lang w:val="en-US" w:eastAsia="es-ES_tradnl"/>
        </w:rPr>
        <w:t xml:space="preserve"> where producers of different scales, government representatives, guild organizations and specialist technicians can:</w:t>
      </w:r>
    </w:p>
    <w:p w14:paraId="277D158A" w14:textId="77777777" w:rsidR="00647F92" w:rsidRPr="00647F92" w:rsidRDefault="00647F92" w:rsidP="00647F92">
      <w:pPr>
        <w:numPr>
          <w:ilvl w:val="0"/>
          <w:numId w:val="4"/>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Share experiences and challenges</w:t>
      </w:r>
      <w:r w:rsidRPr="00647F92">
        <w:rPr>
          <w:rFonts w:ascii="Arial" w:eastAsia="Times New Roman" w:hAnsi="Arial" w:cs="Arial"/>
          <w:lang w:val="en-US" w:eastAsia="es-ES_tradnl"/>
        </w:rPr>
        <w:t xml:space="preserve"> from different productive and regulatory realities.</w:t>
      </w:r>
    </w:p>
    <w:p w14:paraId="04B00768" w14:textId="77777777" w:rsidR="00647F92" w:rsidRPr="00647F92" w:rsidRDefault="00647F92" w:rsidP="00647F92">
      <w:pPr>
        <w:numPr>
          <w:ilvl w:val="0"/>
          <w:numId w:val="4"/>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Explore growth opportunities</w:t>
      </w:r>
      <w:r w:rsidRPr="00647F92">
        <w:rPr>
          <w:rFonts w:ascii="Arial" w:eastAsia="Times New Roman" w:hAnsi="Arial" w:cs="Arial"/>
          <w:lang w:val="en-US" w:eastAsia="es-ES_tradnl"/>
        </w:rPr>
        <w:t xml:space="preserve"> that consider economic viability, competitiveness and sector development.</w:t>
      </w:r>
    </w:p>
    <w:p w14:paraId="7018E410" w14:textId="77777777" w:rsidR="00647F92" w:rsidRPr="00647F92" w:rsidRDefault="00647F92" w:rsidP="00647F92">
      <w:pPr>
        <w:numPr>
          <w:ilvl w:val="0"/>
          <w:numId w:val="4"/>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Identify areas for improvement</w:t>
      </w:r>
      <w:r w:rsidRPr="00647F92">
        <w:rPr>
          <w:rFonts w:ascii="Arial" w:eastAsia="Times New Roman" w:hAnsi="Arial" w:cs="Arial"/>
          <w:lang w:val="en-US" w:eastAsia="es-ES_tradnl"/>
        </w:rPr>
        <w:t xml:space="preserve"> in regulations, application of norms and coordination between different levels of government and productive sectors.</w:t>
      </w:r>
    </w:p>
    <w:p w14:paraId="05F23E5D" w14:textId="77777777" w:rsidR="00647F92" w:rsidRPr="00647F92" w:rsidRDefault="00647F92" w:rsidP="00647F92">
      <w:pPr>
        <w:numPr>
          <w:ilvl w:val="0"/>
          <w:numId w:val="4"/>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Co-construct visions of the future</w:t>
      </w:r>
      <w:r w:rsidRPr="00647F92">
        <w:rPr>
          <w:rFonts w:ascii="Arial" w:eastAsia="Times New Roman" w:hAnsi="Arial" w:cs="Arial"/>
          <w:lang w:val="en-US" w:eastAsia="es-ES_tradnl"/>
        </w:rPr>
        <w:t xml:space="preserve"> that integrate productive efficiency, national food security, international competitiveness and employment generation.</w:t>
      </w:r>
    </w:p>
    <w:p w14:paraId="394F35B3"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 xml:space="preserve">This is a space where </w:t>
      </w:r>
      <w:r w:rsidRPr="00647F92">
        <w:rPr>
          <w:rFonts w:ascii="Arial" w:hAnsi="Arial" w:cs="Arial"/>
          <w:b/>
          <w:bCs/>
          <w:lang w:val="en-US" w:eastAsia="es-ES_tradnl"/>
        </w:rPr>
        <w:t>all perspectives of the sector are valued</w:t>
      </w:r>
      <w:r w:rsidRPr="00647F92">
        <w:rPr>
          <w:rFonts w:ascii="Arial" w:hAnsi="Arial" w:cs="Arial"/>
          <w:lang w:val="en-US" w:eastAsia="es-ES_tradnl"/>
        </w:rPr>
        <w:t>: from industrial producers to small grassroots producers, from federal to municipal authorities, from those who prioritize productive growth to those who emphasize strengthening of different production scales.</w:t>
      </w:r>
    </w:p>
    <w:p w14:paraId="2ECBEB8C"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Roundtable Objectives:</w:t>
      </w:r>
    </w:p>
    <w:p w14:paraId="60181354" w14:textId="77777777" w:rsidR="00647F92" w:rsidRPr="00647F92" w:rsidRDefault="00647F92" w:rsidP="00647F92">
      <w:pPr>
        <w:numPr>
          <w:ilvl w:val="0"/>
          <w:numId w:val="5"/>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Identify values and priorities</w:t>
      </w:r>
      <w:r w:rsidRPr="00647F92">
        <w:rPr>
          <w:rFonts w:ascii="Arial" w:eastAsia="Times New Roman" w:hAnsi="Arial" w:cs="Arial"/>
          <w:lang w:val="en-US" w:eastAsia="es-ES_tradnl"/>
        </w:rPr>
        <w:t xml:space="preserve"> that guide decisions in the sector: What do we consider most important for the future development and competitiveness of Mexican pig farming?</w:t>
      </w:r>
    </w:p>
    <w:p w14:paraId="16AA6392" w14:textId="77777777" w:rsidR="00647F92" w:rsidRPr="00647F92" w:rsidRDefault="00647F92" w:rsidP="00647F92">
      <w:pPr>
        <w:numPr>
          <w:ilvl w:val="0"/>
          <w:numId w:val="5"/>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Map experiences and learnings</w:t>
      </w:r>
      <w:r w:rsidRPr="00647F92">
        <w:rPr>
          <w:rFonts w:ascii="Arial" w:eastAsia="Times New Roman" w:hAnsi="Arial" w:cs="Arial"/>
          <w:lang w:val="en-US" w:eastAsia="es-ES_tradnl"/>
        </w:rPr>
        <w:t xml:space="preserve"> from different production scales and regulatory spheres: What works well? Where are there areas of opportunity to improve efficiency and competitiveness?</w:t>
      </w:r>
    </w:p>
    <w:p w14:paraId="21BA9AA7" w14:textId="77777777" w:rsidR="00647F92" w:rsidRPr="00647F92" w:rsidRDefault="00647F92" w:rsidP="00647F92">
      <w:pPr>
        <w:numPr>
          <w:ilvl w:val="0"/>
          <w:numId w:val="5"/>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Explore future scenarios</w:t>
      </w:r>
      <w:r w:rsidRPr="00647F92">
        <w:rPr>
          <w:rFonts w:ascii="Arial" w:eastAsia="Times New Roman" w:hAnsi="Arial" w:cs="Arial"/>
          <w:lang w:val="en-US" w:eastAsia="es-ES_tradnl"/>
        </w:rPr>
        <w:t xml:space="preserve"> for 2040: How could the pork sector develop considering productive efficiency, food security, international competitiveness and economic value generation?</w:t>
      </w:r>
    </w:p>
    <w:p w14:paraId="0ECBBE81" w14:textId="77777777" w:rsidR="00647F92" w:rsidRPr="00647F92" w:rsidRDefault="00647F92" w:rsidP="00647F92">
      <w:pPr>
        <w:numPr>
          <w:ilvl w:val="0"/>
          <w:numId w:val="5"/>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Identify divergences and convergences</w:t>
      </w:r>
      <w:r w:rsidRPr="00647F92">
        <w:rPr>
          <w:rFonts w:ascii="Arial" w:eastAsia="Times New Roman" w:hAnsi="Arial" w:cs="Arial"/>
          <w:lang w:val="en-US" w:eastAsia="es-ES_tradnl"/>
        </w:rPr>
        <w:t xml:space="preserve"> among different actors in the sector: Where are there shared visions? Where are there differences that require coordination?</w:t>
      </w:r>
    </w:p>
    <w:p w14:paraId="3958196E" w14:textId="77777777" w:rsidR="00647F92" w:rsidRPr="00647F92" w:rsidRDefault="00647F92" w:rsidP="00647F92">
      <w:pPr>
        <w:numPr>
          <w:ilvl w:val="0"/>
          <w:numId w:val="5"/>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b/>
          <w:bCs/>
          <w:lang w:val="en-US" w:eastAsia="es-ES_tradnl"/>
        </w:rPr>
        <w:t>Strengthen articulation</w:t>
      </w:r>
      <w:r w:rsidRPr="00647F92">
        <w:rPr>
          <w:rFonts w:ascii="Arial" w:eastAsia="Times New Roman" w:hAnsi="Arial" w:cs="Arial"/>
          <w:lang w:val="en-US" w:eastAsia="es-ES_tradnl"/>
        </w:rPr>
        <w:t xml:space="preserve"> among producers of different scales, government agencies with different mandates, and guild organizations for sectoral development.</w:t>
      </w:r>
    </w:p>
    <w:p w14:paraId="03D45E24"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Methodology: TABLE Approach.</w:t>
      </w:r>
    </w:p>
    <w:p w14:paraId="052C4201"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We adopt the TABLE methodology (The Food Climate Research Network, University of Oxford) which recognizes that:</w:t>
      </w:r>
    </w:p>
    <w:p w14:paraId="0DECD950" w14:textId="77777777" w:rsidR="00647F92" w:rsidRPr="00647F92" w:rsidRDefault="00647F92" w:rsidP="00647F92">
      <w:pPr>
        <w:numPr>
          <w:ilvl w:val="0"/>
          <w:numId w:val="6"/>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lang w:val="en-US" w:eastAsia="es-ES_tradnl"/>
        </w:rPr>
        <w:t xml:space="preserve">Decisions about production systems involve </w:t>
      </w:r>
      <w:r w:rsidRPr="00647F92">
        <w:rPr>
          <w:rFonts w:ascii="Arial" w:eastAsia="Times New Roman" w:hAnsi="Arial" w:cs="Arial"/>
          <w:b/>
          <w:bCs/>
          <w:lang w:val="en-US" w:eastAsia="es-ES_tradnl"/>
        </w:rPr>
        <w:t>diverse values</w:t>
      </w:r>
      <w:r w:rsidRPr="00647F92">
        <w:rPr>
          <w:rFonts w:ascii="Arial" w:eastAsia="Times New Roman" w:hAnsi="Arial" w:cs="Arial"/>
          <w:lang w:val="en-US" w:eastAsia="es-ES_tradnl"/>
        </w:rPr>
        <w:t xml:space="preserve"> about development, efficiency, competitiveness and business responsibility.</w:t>
      </w:r>
    </w:p>
    <w:p w14:paraId="52598756" w14:textId="77777777" w:rsidR="00647F92" w:rsidRPr="00647F92" w:rsidRDefault="00647F92" w:rsidP="00647F92">
      <w:pPr>
        <w:numPr>
          <w:ilvl w:val="0"/>
          <w:numId w:val="6"/>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lang w:val="en-US" w:eastAsia="es-ES_tradnl"/>
        </w:rPr>
        <w:t xml:space="preserve">Different actors operate from </w:t>
      </w:r>
      <w:r w:rsidRPr="00647F92">
        <w:rPr>
          <w:rFonts w:ascii="Arial" w:eastAsia="Times New Roman" w:hAnsi="Arial" w:cs="Arial"/>
          <w:b/>
          <w:bCs/>
          <w:lang w:val="en-US" w:eastAsia="es-ES_tradnl"/>
        </w:rPr>
        <w:t>different knowledge frameworks</w:t>
      </w:r>
      <w:r w:rsidRPr="00647F92">
        <w:rPr>
          <w:rFonts w:ascii="Arial" w:eastAsia="Times New Roman" w:hAnsi="Arial" w:cs="Arial"/>
          <w:lang w:val="en-US" w:eastAsia="es-ES_tradnl"/>
        </w:rPr>
        <w:t>: productive experience, technical data, regulatory perspectives, economic analyses.</w:t>
      </w:r>
    </w:p>
    <w:p w14:paraId="4FA9CDB3" w14:textId="77777777" w:rsidR="00647F92" w:rsidRPr="00647F92" w:rsidRDefault="00647F92" w:rsidP="00647F92">
      <w:pPr>
        <w:numPr>
          <w:ilvl w:val="0"/>
          <w:numId w:val="6"/>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lang w:val="en-US" w:eastAsia="es-ES_tradnl"/>
        </w:rPr>
        <w:t xml:space="preserve">Constructive dialogue requires </w:t>
      </w:r>
      <w:r w:rsidRPr="00647F92">
        <w:rPr>
          <w:rFonts w:ascii="Arial" w:eastAsia="Times New Roman" w:hAnsi="Arial" w:cs="Arial"/>
          <w:b/>
          <w:bCs/>
          <w:lang w:val="en-US" w:eastAsia="es-ES_tradnl"/>
        </w:rPr>
        <w:t>mutual understanding</w:t>
      </w:r>
      <w:r w:rsidRPr="00647F92">
        <w:rPr>
          <w:rFonts w:ascii="Arial" w:eastAsia="Times New Roman" w:hAnsi="Arial" w:cs="Arial"/>
          <w:lang w:val="en-US" w:eastAsia="es-ES_tradnl"/>
        </w:rPr>
        <w:t xml:space="preserve"> among different perspectives of the sector.</w:t>
      </w:r>
    </w:p>
    <w:p w14:paraId="4045359A" w14:textId="77777777" w:rsidR="00647F92" w:rsidRPr="00647F92" w:rsidRDefault="00647F92" w:rsidP="00647F92">
      <w:pPr>
        <w:numPr>
          <w:ilvl w:val="0"/>
          <w:numId w:val="6"/>
        </w:numPr>
        <w:spacing w:before="100" w:beforeAutospacing="1" w:after="100" w:afterAutospacing="1"/>
        <w:jc w:val="both"/>
        <w:rPr>
          <w:rFonts w:ascii="Arial" w:eastAsia="Times New Roman" w:hAnsi="Arial" w:cs="Arial"/>
          <w:lang w:val="en-US" w:eastAsia="es-ES_tradnl"/>
        </w:rPr>
      </w:pPr>
      <w:r w:rsidRPr="00647F92">
        <w:rPr>
          <w:rFonts w:ascii="Arial" w:eastAsia="Times New Roman" w:hAnsi="Arial" w:cs="Arial"/>
          <w:lang w:val="en-US" w:eastAsia="es-ES_tradnl"/>
        </w:rPr>
        <w:t xml:space="preserve">The objective is to </w:t>
      </w:r>
      <w:r w:rsidRPr="00647F92">
        <w:rPr>
          <w:rFonts w:ascii="Arial" w:eastAsia="Times New Roman" w:hAnsi="Arial" w:cs="Arial"/>
          <w:b/>
          <w:bCs/>
          <w:lang w:val="en-US" w:eastAsia="es-ES_tradnl"/>
        </w:rPr>
        <w:t>enrich understanding</w:t>
      </w:r>
      <w:r w:rsidRPr="00647F92">
        <w:rPr>
          <w:rFonts w:ascii="Arial" w:eastAsia="Times New Roman" w:hAnsi="Arial" w:cs="Arial"/>
          <w:lang w:val="en-US" w:eastAsia="es-ES_tradnl"/>
        </w:rPr>
        <w:t xml:space="preserve"> about options, challenges and opportunities for sectoral development, not to impose a single vision.</w:t>
      </w:r>
    </w:p>
    <w:p w14:paraId="3A262C2A"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Why does your participation matter?</w:t>
      </w:r>
    </w:p>
    <w:p w14:paraId="65790B37"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 xml:space="preserve">Your knowledge, experience and perspective are </w:t>
      </w:r>
      <w:r w:rsidRPr="00647F92">
        <w:rPr>
          <w:rFonts w:ascii="Arial" w:hAnsi="Arial" w:cs="Arial"/>
          <w:b/>
          <w:bCs/>
          <w:lang w:val="en-US" w:eastAsia="es-ES_tradnl"/>
        </w:rPr>
        <w:t>fundamental</w:t>
      </w:r>
      <w:r w:rsidRPr="00647F92">
        <w:rPr>
          <w:rFonts w:ascii="Arial" w:hAnsi="Arial" w:cs="Arial"/>
          <w:lang w:val="en-US" w:eastAsia="es-ES_tradnl"/>
        </w:rPr>
        <w:t xml:space="preserve"> to:</w:t>
      </w:r>
    </w:p>
    <w:p w14:paraId="6FB03384"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Share learnings</w:t>
      </w:r>
      <w:r w:rsidRPr="00647F92">
        <w:rPr>
          <w:rFonts w:ascii="Arial" w:hAnsi="Arial" w:cs="Arial"/>
          <w:lang w:val="en-US" w:eastAsia="es-ES_tradnl"/>
        </w:rPr>
        <w:t xml:space="preserve"> about sector challenges and opportunities from different scales and operational contexts</w:t>
      </w:r>
      <w:r w:rsidRPr="00647F92">
        <w:rPr>
          <w:rFonts w:ascii="Arial" w:hAnsi="Arial" w:cs="Arial"/>
          <w:lang w:val="en-US" w:eastAsia="es-ES_tradnl"/>
        </w:rPr>
        <w:br/>
      </w: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Contribute technical, productive and regulatory evidence</w:t>
      </w:r>
      <w:r w:rsidRPr="00647F92">
        <w:rPr>
          <w:rFonts w:ascii="Arial" w:hAnsi="Arial" w:cs="Arial"/>
          <w:lang w:val="en-US" w:eastAsia="es-ES_tradnl"/>
        </w:rPr>
        <w:t xml:space="preserve"> that enriches understanding of the sector</w:t>
      </w:r>
      <w:r w:rsidRPr="00647F92">
        <w:rPr>
          <w:rFonts w:ascii="Arial" w:hAnsi="Arial" w:cs="Arial"/>
          <w:lang w:val="en-US" w:eastAsia="es-ES_tradnl"/>
        </w:rPr>
        <w:br/>
      </w: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Identify areas for improvement</w:t>
      </w:r>
      <w:r w:rsidRPr="00647F92">
        <w:rPr>
          <w:rFonts w:ascii="Arial" w:hAnsi="Arial" w:cs="Arial"/>
          <w:lang w:val="en-US" w:eastAsia="es-ES_tradnl"/>
        </w:rPr>
        <w:t xml:space="preserve"> in coordination, regulation and practices that strengthen sectoral competitiveness</w:t>
      </w:r>
      <w:r w:rsidRPr="00647F92">
        <w:rPr>
          <w:rFonts w:ascii="Arial" w:hAnsi="Arial" w:cs="Arial"/>
          <w:lang w:val="en-US" w:eastAsia="es-ES_tradnl"/>
        </w:rPr>
        <w:br/>
      </w: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Explore development opportunities</w:t>
      </w:r>
      <w:r w:rsidRPr="00647F92">
        <w:rPr>
          <w:rFonts w:ascii="Arial" w:hAnsi="Arial" w:cs="Arial"/>
          <w:lang w:val="en-US" w:eastAsia="es-ES_tradnl"/>
        </w:rPr>
        <w:t xml:space="preserve"> that consider economic viability, productive efficiency and employment generation</w:t>
      </w:r>
      <w:r w:rsidRPr="00647F92">
        <w:rPr>
          <w:rFonts w:ascii="Arial" w:hAnsi="Arial" w:cs="Arial"/>
          <w:lang w:val="en-US" w:eastAsia="es-ES_tradnl"/>
        </w:rPr>
        <w:br/>
      </w: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Influence future debates</w:t>
      </w:r>
      <w:r w:rsidRPr="00647F92">
        <w:rPr>
          <w:rFonts w:ascii="Arial" w:hAnsi="Arial" w:cs="Arial"/>
          <w:lang w:val="en-US" w:eastAsia="es-ES_tradnl"/>
        </w:rPr>
        <w:t xml:space="preserve"> about policies and strategies that drive sector growth</w:t>
      </w:r>
      <w:r w:rsidRPr="00647F92">
        <w:rPr>
          <w:rFonts w:ascii="Arial" w:hAnsi="Arial" w:cs="Arial"/>
          <w:lang w:val="en-US" w:eastAsia="es-ES_tradnl"/>
        </w:rPr>
        <w:br/>
      </w:r>
      <w:r w:rsidRPr="00647F92">
        <w:rPr>
          <w:rFonts w:ascii="MS Mincho" w:eastAsia="MS Mincho" w:hAnsi="MS Mincho" w:cs="MS Mincho"/>
          <w:lang w:val="en-US" w:eastAsia="es-ES_tradnl"/>
        </w:rPr>
        <w:t>✓</w:t>
      </w:r>
      <w:r w:rsidRPr="00647F92">
        <w:rPr>
          <w:rFonts w:ascii="Arial" w:hAnsi="Arial" w:cs="Arial"/>
          <w:lang w:val="en-US" w:eastAsia="es-ES_tradnl"/>
        </w:rPr>
        <w:t xml:space="preserve"> </w:t>
      </w:r>
      <w:r w:rsidRPr="00647F92">
        <w:rPr>
          <w:rFonts w:ascii="Arial" w:hAnsi="Arial" w:cs="Arial"/>
          <w:b/>
          <w:bCs/>
          <w:lang w:val="en-US" w:eastAsia="es-ES_tradnl"/>
        </w:rPr>
        <w:t>Establish connections</w:t>
      </w:r>
      <w:r w:rsidRPr="00647F92">
        <w:rPr>
          <w:rFonts w:ascii="Arial" w:hAnsi="Arial" w:cs="Arial"/>
          <w:lang w:val="en-US" w:eastAsia="es-ES_tradnl"/>
        </w:rPr>
        <w:t xml:space="preserve"> with other key actors in the sector that can generate strategic collaborations.</w:t>
      </w:r>
    </w:p>
    <w:p w14:paraId="55B5366E"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lang w:val="en-US" w:eastAsia="es-ES_tradnl"/>
        </w:rPr>
        <w:t xml:space="preserve">This process recognizes the </w:t>
      </w:r>
      <w:r w:rsidRPr="00647F92">
        <w:rPr>
          <w:rFonts w:ascii="Arial" w:hAnsi="Arial" w:cs="Arial"/>
          <w:b/>
          <w:bCs/>
          <w:lang w:val="en-US" w:eastAsia="es-ES_tradnl"/>
        </w:rPr>
        <w:t>sector's complexity</w:t>
      </w:r>
      <w:r w:rsidRPr="00647F92">
        <w:rPr>
          <w:rFonts w:ascii="Arial" w:hAnsi="Arial" w:cs="Arial"/>
          <w:lang w:val="en-US" w:eastAsia="es-ES_tradnl"/>
        </w:rPr>
        <w:t xml:space="preserve"> and seeks to create conditions so that different perspectives ---from productive efficiency to regulatory compliance, from food security to international competitiveness--- can be heard, contrasted and considered in the construction of visions of the future.</w:t>
      </w:r>
    </w:p>
    <w:p w14:paraId="23F5EDF5" w14:textId="77777777" w:rsidR="00647F92" w:rsidRPr="00647F92" w:rsidRDefault="00647F92" w:rsidP="00647F92">
      <w:pPr>
        <w:spacing w:before="100" w:beforeAutospacing="1" w:after="100" w:afterAutospacing="1"/>
        <w:jc w:val="both"/>
        <w:rPr>
          <w:rFonts w:ascii="Arial" w:hAnsi="Arial" w:cs="Arial"/>
          <w:lang w:val="en-US" w:eastAsia="es-ES_tradnl"/>
        </w:rPr>
      </w:pPr>
      <w:r w:rsidRPr="00647F92">
        <w:rPr>
          <w:rFonts w:ascii="Arial" w:hAnsi="Arial" w:cs="Arial"/>
          <w:b/>
          <w:bCs/>
          <w:lang w:val="en-US" w:eastAsia="es-ES_tradnl"/>
        </w:rPr>
        <w:t>Your experience and knowledge are essential to build informed and viable visions of the future that strengthen the competitiveness of the Mexican pork sector.</w:t>
      </w:r>
    </w:p>
    <w:p w14:paraId="7AB06918" w14:textId="77777777" w:rsidR="00E1122D" w:rsidRPr="007305FE" w:rsidRDefault="00E1122D">
      <w:pPr>
        <w:rPr>
          <w:rFonts w:ascii="Arial" w:hAnsi="Arial" w:cs="Arial"/>
        </w:rPr>
      </w:pPr>
    </w:p>
    <w:sectPr w:rsidR="00E1122D" w:rsidRPr="007305FE" w:rsidSect="00B33B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65747"/>
    <w:multiLevelType w:val="multilevel"/>
    <w:tmpl w:val="073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9D08E8"/>
    <w:multiLevelType w:val="multilevel"/>
    <w:tmpl w:val="A1AA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0B74DD"/>
    <w:multiLevelType w:val="multilevel"/>
    <w:tmpl w:val="204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3E1807"/>
    <w:multiLevelType w:val="multilevel"/>
    <w:tmpl w:val="E6A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02547B"/>
    <w:multiLevelType w:val="multilevel"/>
    <w:tmpl w:val="7C1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4A0EBB"/>
    <w:multiLevelType w:val="multilevel"/>
    <w:tmpl w:val="8A52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5FE"/>
    <w:rsid w:val="00647F92"/>
    <w:rsid w:val="007305FE"/>
    <w:rsid w:val="009771B4"/>
    <w:rsid w:val="00B33BB1"/>
    <w:rsid w:val="00CE59E8"/>
    <w:rsid w:val="00E1122D"/>
  </w:rsids>
  <m:mathPr>
    <m:mathFont m:val="Cambria Math"/>
    <m:brkBin m:val="before"/>
    <m:brkBinSub m:val="--"/>
    <m:smallFrac m:val="0"/>
    <m:dispDef/>
    <m:lMargin m:val="0"/>
    <m:rMargin m:val="0"/>
    <m:defJc m:val="centerGroup"/>
    <m:wrapIndent m:val="1440"/>
    <m:intLim m:val="subSup"/>
    <m:naryLim m:val="undOvr"/>
  </m:mathPr>
  <w:themeFontLang w:val="es-MX"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10BC5F1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2">
    <w:name w:val="heading 2"/>
    <w:basedOn w:val="Normal"/>
    <w:link w:val="Ttulo2Car"/>
    <w:uiPriority w:val="9"/>
    <w:qFormat/>
    <w:rsid w:val="007305FE"/>
    <w:pPr>
      <w:spacing w:before="100" w:beforeAutospacing="1" w:after="100" w:afterAutospacing="1"/>
      <w:outlineLvl w:val="1"/>
    </w:pPr>
    <w:rPr>
      <w:rFonts w:ascii="Times New Roman" w:hAnsi="Times New Roman" w:cs="Times New Roman"/>
      <w:b/>
      <w:bCs/>
      <w:sz w:val="36"/>
      <w:szCs w:val="36"/>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305FE"/>
    <w:rPr>
      <w:rFonts w:ascii="Times New Roman" w:hAnsi="Times New Roman" w:cs="Times New Roman"/>
      <w:b/>
      <w:bCs/>
      <w:sz w:val="36"/>
      <w:szCs w:val="36"/>
      <w:lang w:val="es-ES_tradnl" w:eastAsia="es-ES_tradnl"/>
    </w:rPr>
  </w:style>
  <w:style w:type="paragraph" w:customStyle="1" w:styleId="whitespace-normal">
    <w:name w:val="whitespace-normal"/>
    <w:basedOn w:val="Normal"/>
    <w:rsid w:val="007305FE"/>
    <w:pPr>
      <w:spacing w:before="100" w:beforeAutospacing="1" w:after="100" w:afterAutospacing="1"/>
    </w:pPr>
    <w:rPr>
      <w:rFonts w:ascii="Times New Roman" w:hAnsi="Times New Roman" w:cs="Times New Roman"/>
      <w:lang w:val="es-ES_tradnl" w:eastAsia="es-ES_tradnl"/>
    </w:rPr>
  </w:style>
  <w:style w:type="character" w:styleId="Textoennegrita">
    <w:name w:val="Strong"/>
    <w:basedOn w:val="Fuentedeprrafopredeter"/>
    <w:uiPriority w:val="22"/>
    <w:qFormat/>
    <w:rsid w:val="007305FE"/>
    <w:rPr>
      <w:b/>
      <w:bCs/>
    </w:rPr>
  </w:style>
  <w:style w:type="paragraph" w:customStyle="1" w:styleId="whitespace-pre-wrap">
    <w:name w:val="whitespace-pre-wrap"/>
    <w:basedOn w:val="Normal"/>
    <w:rsid w:val="007305FE"/>
    <w:pPr>
      <w:spacing w:before="100" w:beforeAutospacing="1" w:after="100" w:afterAutospacing="1"/>
    </w:pPr>
    <w:rPr>
      <w:rFonts w:ascii="Times New Roman" w:hAnsi="Times New Roman" w:cs="Times New Roman"/>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115710">
      <w:bodyDiv w:val="1"/>
      <w:marLeft w:val="0"/>
      <w:marRight w:val="0"/>
      <w:marTop w:val="0"/>
      <w:marBottom w:val="0"/>
      <w:divBdr>
        <w:top w:val="none" w:sz="0" w:space="0" w:color="auto"/>
        <w:left w:val="none" w:sz="0" w:space="0" w:color="auto"/>
        <w:bottom w:val="none" w:sz="0" w:space="0" w:color="auto"/>
        <w:right w:val="none" w:sz="0" w:space="0" w:color="auto"/>
      </w:divBdr>
    </w:div>
    <w:div w:id="1220283640">
      <w:bodyDiv w:val="1"/>
      <w:marLeft w:val="0"/>
      <w:marRight w:val="0"/>
      <w:marTop w:val="0"/>
      <w:marBottom w:val="0"/>
      <w:divBdr>
        <w:top w:val="none" w:sz="0" w:space="0" w:color="auto"/>
        <w:left w:val="none" w:sz="0" w:space="0" w:color="auto"/>
        <w:bottom w:val="none" w:sz="0" w:space="0" w:color="auto"/>
        <w:right w:val="none" w:sz="0" w:space="0" w:color="auto"/>
      </w:divBdr>
    </w:div>
    <w:div w:id="1926375765">
      <w:bodyDiv w:val="1"/>
      <w:marLeft w:val="0"/>
      <w:marRight w:val="0"/>
      <w:marTop w:val="0"/>
      <w:marBottom w:val="0"/>
      <w:divBdr>
        <w:top w:val="none" w:sz="0" w:space="0" w:color="auto"/>
        <w:left w:val="none" w:sz="0" w:space="0" w:color="auto"/>
        <w:bottom w:val="none" w:sz="0" w:space="0" w:color="auto"/>
        <w:right w:val="none" w:sz="0" w:space="0" w:color="auto"/>
      </w:divBdr>
    </w:div>
    <w:div w:id="2114473797">
      <w:bodyDiv w:val="1"/>
      <w:marLeft w:val="0"/>
      <w:marRight w:val="0"/>
      <w:marTop w:val="0"/>
      <w:marBottom w:val="0"/>
      <w:divBdr>
        <w:top w:val="none" w:sz="0" w:space="0" w:color="auto"/>
        <w:left w:val="none" w:sz="0" w:space="0" w:color="auto"/>
        <w:bottom w:val="none" w:sz="0" w:space="0" w:color="auto"/>
        <w:right w:val="none" w:sz="0" w:space="0" w:color="auto"/>
      </w:divBdr>
      <w:divsChild>
        <w:div w:id="1158617220">
          <w:marLeft w:val="0"/>
          <w:marRight w:val="0"/>
          <w:marTop w:val="0"/>
          <w:marBottom w:val="0"/>
          <w:divBdr>
            <w:top w:val="none" w:sz="0" w:space="0" w:color="auto"/>
            <w:left w:val="none" w:sz="0" w:space="0" w:color="auto"/>
            <w:bottom w:val="none" w:sz="0" w:space="0" w:color="auto"/>
            <w:right w:val="none" w:sz="0" w:space="0" w:color="auto"/>
          </w:divBdr>
          <w:divsChild>
            <w:div w:id="54699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829</Words>
  <Characters>5238</Characters>
  <Application>Microsoft Macintosh Word</Application>
  <DocSecurity>0</DocSecurity>
  <Lines>145</Lines>
  <Paragraphs>126</Paragraphs>
  <ScaleCrop>false</ScaleCrop>
  <LinksUpToDate>false</LinksUpToDate>
  <CharactersWithSpaces>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Pérez</dc:creator>
  <cp:keywords/>
  <dc:description/>
  <cp:lastModifiedBy>Rebeca Pérez</cp:lastModifiedBy>
  <cp:revision>2</cp:revision>
  <dcterms:created xsi:type="dcterms:W3CDTF">2025-10-14T07:53:00Z</dcterms:created>
  <dcterms:modified xsi:type="dcterms:W3CDTF">2025-10-15T22:40:00Z</dcterms:modified>
</cp:coreProperties>
</file>